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C" w:rsidRDefault="008F2C2C" w:rsidP="008F2C2C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8F2C2C" w:rsidRDefault="008F2C2C" w:rsidP="008F2C2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8F2C2C" w:rsidRDefault="008F2C2C" w:rsidP="008F2C2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8F2C2C" w:rsidRDefault="008F2C2C" w:rsidP="008F2C2C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8F2C2C" w:rsidRDefault="008F2C2C" w:rsidP="008F2C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2C2C" w:rsidRDefault="008F2C2C" w:rsidP="008F2C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2C2C" w:rsidRPr="00C6210E" w:rsidRDefault="008F2C2C" w:rsidP="008F2C2C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 xml:space="preserve">ПРЕСС-ВЫПУСК </w:t>
      </w:r>
    </w:p>
    <w:p w:rsidR="008F2C2C" w:rsidRPr="00C6210E" w:rsidRDefault="008F2C2C" w:rsidP="008F2C2C">
      <w:pPr>
        <w:rPr>
          <w:b/>
          <w:shd w:val="clear" w:color="auto" w:fill="FFFFFF"/>
        </w:rPr>
      </w:pPr>
      <w:r w:rsidRPr="00B2313D">
        <w:t>№06-</w:t>
      </w:r>
      <w:r w:rsidR="00B2313D" w:rsidRPr="00B2313D">
        <w:t>32/</w:t>
      </w:r>
      <w:r w:rsidR="00601B7F">
        <w:t>3</w:t>
      </w:r>
      <w:r w:rsidR="006A0A0C">
        <w:t xml:space="preserve"> от </w:t>
      </w:r>
      <w:r w:rsidR="00601B7F">
        <w:t>29</w:t>
      </w:r>
      <w:r w:rsidRPr="00B2313D">
        <w:t>.</w:t>
      </w:r>
      <w:r w:rsidR="00601B7F">
        <w:t>08</w:t>
      </w:r>
      <w:r w:rsidRPr="00B2313D">
        <w:t>.201</w:t>
      </w:r>
      <w:r w:rsidR="00601B7F">
        <w:t>9</w:t>
      </w:r>
      <w:r w:rsidRPr="00B2313D">
        <w:t>г.</w:t>
      </w:r>
    </w:p>
    <w:p w:rsidR="00226498" w:rsidRDefault="00226498"/>
    <w:p w:rsidR="008F2C2C" w:rsidRPr="0002018B" w:rsidRDefault="008F2C2C" w:rsidP="008F2C2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ИНВЕСТИЦИОННАЯ ДЕЯТЕЛЬНОСТЬ</w:t>
      </w:r>
      <w:r w:rsidRPr="0002018B">
        <w:rPr>
          <w:b/>
          <w:color w:val="000000"/>
          <w:sz w:val="26"/>
          <w:szCs w:val="26"/>
        </w:rPr>
        <w:t xml:space="preserve"> </w:t>
      </w:r>
    </w:p>
    <w:p w:rsidR="008F2C2C" w:rsidRDefault="008F2C2C" w:rsidP="008F2C2C">
      <w:pPr>
        <w:jc w:val="center"/>
        <w:rPr>
          <w:b/>
          <w:color w:val="000000"/>
          <w:sz w:val="26"/>
          <w:szCs w:val="26"/>
        </w:rPr>
      </w:pPr>
      <w:r w:rsidRPr="0002018B">
        <w:rPr>
          <w:b/>
          <w:color w:val="000000"/>
          <w:sz w:val="26"/>
          <w:szCs w:val="26"/>
        </w:rPr>
        <w:t xml:space="preserve">В РЕСПУБЛИКЕ САХА (ЯКУТИЯ) </w:t>
      </w:r>
      <w:r>
        <w:rPr>
          <w:b/>
          <w:color w:val="000000"/>
          <w:sz w:val="26"/>
          <w:szCs w:val="26"/>
        </w:rPr>
        <w:t>за 2018 год</w:t>
      </w:r>
      <w:r w:rsidRPr="0002018B">
        <w:rPr>
          <w:b/>
          <w:color w:val="000000"/>
          <w:sz w:val="26"/>
          <w:szCs w:val="26"/>
        </w:rPr>
        <w:t>.</w:t>
      </w:r>
    </w:p>
    <w:p w:rsidR="008F2C2C" w:rsidRDefault="008F2C2C" w:rsidP="008F2C2C">
      <w:pPr>
        <w:jc w:val="center"/>
        <w:rPr>
          <w:b/>
          <w:color w:val="000000"/>
          <w:sz w:val="26"/>
          <w:szCs w:val="26"/>
        </w:rPr>
      </w:pPr>
    </w:p>
    <w:p w:rsidR="00B41DC4" w:rsidRDefault="00CF3A3F" w:rsidP="006A0A0C">
      <w:pPr>
        <w:spacing w:line="288" w:lineRule="auto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795020</wp:posOffset>
            </wp:positionV>
            <wp:extent cx="4781550" cy="2819400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01B7F">
        <w:rPr>
          <w:sz w:val="25"/>
          <w:szCs w:val="25"/>
        </w:rPr>
        <w:t>В</w:t>
      </w:r>
      <w:r w:rsidR="00A13056" w:rsidRPr="00A13056">
        <w:rPr>
          <w:sz w:val="25"/>
          <w:szCs w:val="25"/>
        </w:rPr>
        <w:t xml:space="preserve"> 2018 год</w:t>
      </w:r>
      <w:r w:rsidR="00601B7F">
        <w:rPr>
          <w:sz w:val="25"/>
          <w:szCs w:val="25"/>
        </w:rPr>
        <w:t>у</w:t>
      </w:r>
      <w:r w:rsidR="00226498" w:rsidRPr="00A13056">
        <w:rPr>
          <w:sz w:val="25"/>
          <w:szCs w:val="25"/>
        </w:rPr>
        <w:t xml:space="preserve"> </w:t>
      </w:r>
      <w:r w:rsidR="00B2313D">
        <w:rPr>
          <w:b/>
          <w:sz w:val="25"/>
          <w:szCs w:val="25"/>
        </w:rPr>
        <w:t>инвестиции</w:t>
      </w:r>
      <w:r w:rsidR="00226498" w:rsidRPr="00B2313D">
        <w:rPr>
          <w:b/>
          <w:sz w:val="25"/>
          <w:szCs w:val="25"/>
        </w:rPr>
        <w:t xml:space="preserve"> в основной капитал</w:t>
      </w:r>
      <w:r w:rsidR="006A0A0C">
        <w:rPr>
          <w:rStyle w:val="ac"/>
          <w:b/>
          <w:sz w:val="25"/>
          <w:szCs w:val="25"/>
        </w:rPr>
        <w:footnoteReference w:id="2"/>
      </w:r>
      <w:r w:rsidR="00226498" w:rsidRPr="00A13056">
        <w:rPr>
          <w:sz w:val="25"/>
          <w:szCs w:val="25"/>
        </w:rPr>
        <w:t xml:space="preserve"> </w:t>
      </w:r>
      <w:r w:rsidR="00B2313D">
        <w:rPr>
          <w:sz w:val="25"/>
          <w:szCs w:val="25"/>
        </w:rPr>
        <w:t>в</w:t>
      </w:r>
      <w:r w:rsidR="00226498" w:rsidRPr="00A13056">
        <w:rPr>
          <w:sz w:val="25"/>
          <w:szCs w:val="25"/>
        </w:rPr>
        <w:t xml:space="preserve"> </w:t>
      </w:r>
      <w:r w:rsidR="00A13056" w:rsidRPr="00A13056">
        <w:rPr>
          <w:sz w:val="25"/>
          <w:szCs w:val="25"/>
        </w:rPr>
        <w:t>Респуб</w:t>
      </w:r>
      <w:r w:rsidR="00B2313D">
        <w:rPr>
          <w:sz w:val="25"/>
          <w:szCs w:val="25"/>
        </w:rPr>
        <w:t>лике</w:t>
      </w:r>
      <w:r w:rsidR="00A13056" w:rsidRPr="00A13056">
        <w:rPr>
          <w:sz w:val="25"/>
          <w:szCs w:val="25"/>
        </w:rPr>
        <w:t xml:space="preserve"> Саха (Якутия)</w:t>
      </w:r>
      <w:r w:rsidR="006A0A0C">
        <w:rPr>
          <w:sz w:val="25"/>
          <w:szCs w:val="25"/>
        </w:rPr>
        <w:t xml:space="preserve"> составили </w:t>
      </w:r>
      <w:r w:rsidR="00601B7F">
        <w:rPr>
          <w:sz w:val="25"/>
          <w:szCs w:val="25"/>
        </w:rPr>
        <w:t>403 миллиарда</w:t>
      </w:r>
      <w:r w:rsidR="006A0A0C">
        <w:rPr>
          <w:sz w:val="25"/>
          <w:szCs w:val="25"/>
        </w:rPr>
        <w:t xml:space="preserve"> рублей и увеличились </w:t>
      </w:r>
      <w:r w:rsidR="00B2313D">
        <w:rPr>
          <w:sz w:val="25"/>
          <w:szCs w:val="25"/>
        </w:rPr>
        <w:t xml:space="preserve">на </w:t>
      </w:r>
      <w:r w:rsidR="00601B7F">
        <w:rPr>
          <w:sz w:val="25"/>
          <w:szCs w:val="25"/>
        </w:rPr>
        <w:t>1,9</w:t>
      </w:r>
      <w:r w:rsidR="00B2313D">
        <w:rPr>
          <w:sz w:val="25"/>
          <w:szCs w:val="25"/>
        </w:rPr>
        <w:t xml:space="preserve">% по сравнению с </w:t>
      </w:r>
      <w:r w:rsidR="005458BF">
        <w:rPr>
          <w:sz w:val="25"/>
          <w:szCs w:val="25"/>
        </w:rPr>
        <w:t>пре</w:t>
      </w:r>
      <w:r w:rsidR="00601B7F">
        <w:rPr>
          <w:sz w:val="25"/>
          <w:szCs w:val="25"/>
        </w:rPr>
        <w:t>дыдущим годом</w:t>
      </w:r>
      <w:r w:rsidR="006A0A0C">
        <w:rPr>
          <w:sz w:val="25"/>
          <w:szCs w:val="25"/>
        </w:rPr>
        <w:t xml:space="preserve"> (в сопост</w:t>
      </w:r>
      <w:r w:rsidR="006A0A0C">
        <w:rPr>
          <w:sz w:val="25"/>
          <w:szCs w:val="25"/>
        </w:rPr>
        <w:t>а</w:t>
      </w:r>
      <w:r w:rsidR="006A0A0C">
        <w:rPr>
          <w:sz w:val="25"/>
          <w:szCs w:val="25"/>
        </w:rPr>
        <w:t>вимых ценах).</w:t>
      </w:r>
      <w:r w:rsidR="004B2B9C" w:rsidRPr="004B2B9C">
        <w:rPr>
          <w:sz w:val="25"/>
          <w:szCs w:val="25"/>
        </w:rPr>
        <w:t xml:space="preserve"> </w:t>
      </w:r>
    </w:p>
    <w:p w:rsidR="00B41DC4" w:rsidRDefault="00B41DC4" w:rsidP="004B2B9C">
      <w:pPr>
        <w:spacing w:line="288" w:lineRule="auto"/>
        <w:jc w:val="both"/>
        <w:rPr>
          <w:sz w:val="25"/>
          <w:szCs w:val="25"/>
        </w:rPr>
      </w:pPr>
    </w:p>
    <w:p w:rsidR="00A13056" w:rsidRPr="004B2B9C" w:rsidRDefault="004B2B9C" w:rsidP="004B2B9C">
      <w:pPr>
        <w:spacing w:line="288" w:lineRule="auto"/>
        <w:jc w:val="both"/>
        <w:rPr>
          <w:sz w:val="25"/>
          <w:szCs w:val="25"/>
        </w:rPr>
      </w:pPr>
      <w:r w:rsidRPr="004B2B9C">
        <w:rPr>
          <w:sz w:val="25"/>
          <w:szCs w:val="25"/>
        </w:rPr>
        <w:t xml:space="preserve">   </w:t>
      </w:r>
      <w:r w:rsidR="00A13056" w:rsidRPr="004B2B9C">
        <w:rPr>
          <w:sz w:val="25"/>
          <w:szCs w:val="25"/>
        </w:rPr>
        <w:t xml:space="preserve">Наибольший объем </w:t>
      </w:r>
      <w:r w:rsidR="00A269D0">
        <w:rPr>
          <w:sz w:val="25"/>
          <w:szCs w:val="25"/>
        </w:rPr>
        <w:t>инвестиций</w:t>
      </w:r>
      <w:r w:rsidR="006A0A0C">
        <w:rPr>
          <w:rStyle w:val="ac"/>
          <w:sz w:val="25"/>
          <w:szCs w:val="25"/>
        </w:rPr>
        <w:footnoteReference w:id="3"/>
      </w:r>
      <w:r w:rsidR="00A13056" w:rsidRPr="004B2B9C">
        <w:rPr>
          <w:sz w:val="25"/>
          <w:szCs w:val="25"/>
        </w:rPr>
        <w:t xml:space="preserve"> </w:t>
      </w:r>
      <w:r w:rsidR="00FF09E4" w:rsidRPr="004B2B9C">
        <w:rPr>
          <w:sz w:val="25"/>
          <w:szCs w:val="25"/>
        </w:rPr>
        <w:t xml:space="preserve"> </w:t>
      </w:r>
      <w:r w:rsidR="00A269D0">
        <w:rPr>
          <w:sz w:val="25"/>
          <w:szCs w:val="25"/>
        </w:rPr>
        <w:t xml:space="preserve">был </w:t>
      </w:r>
      <w:r w:rsidR="005D4E76">
        <w:rPr>
          <w:sz w:val="25"/>
          <w:szCs w:val="25"/>
        </w:rPr>
        <w:t>и</w:t>
      </w:r>
      <w:r w:rsidR="005D4E76">
        <w:rPr>
          <w:sz w:val="25"/>
          <w:szCs w:val="25"/>
        </w:rPr>
        <w:t>с</w:t>
      </w:r>
      <w:r w:rsidR="005D4E76">
        <w:rPr>
          <w:sz w:val="25"/>
          <w:szCs w:val="25"/>
        </w:rPr>
        <w:t xml:space="preserve">пользован на </w:t>
      </w:r>
      <w:r w:rsidR="00A13056" w:rsidRPr="004B2B9C">
        <w:rPr>
          <w:sz w:val="25"/>
          <w:szCs w:val="25"/>
        </w:rPr>
        <w:t>строи</w:t>
      </w:r>
      <w:r w:rsidRPr="004B2B9C">
        <w:rPr>
          <w:sz w:val="25"/>
          <w:szCs w:val="25"/>
        </w:rPr>
        <w:t>тел</w:t>
      </w:r>
      <w:r w:rsidRPr="004B2B9C">
        <w:rPr>
          <w:sz w:val="25"/>
          <w:szCs w:val="25"/>
        </w:rPr>
        <w:t>ь</w:t>
      </w:r>
      <w:r w:rsidR="00B41DC4">
        <w:rPr>
          <w:sz w:val="25"/>
          <w:szCs w:val="25"/>
        </w:rPr>
        <w:t xml:space="preserve">ство </w:t>
      </w:r>
      <w:r w:rsidR="00A13056" w:rsidRPr="004B2B9C">
        <w:rPr>
          <w:sz w:val="25"/>
          <w:szCs w:val="25"/>
        </w:rPr>
        <w:t>сооружений</w:t>
      </w:r>
      <w:r w:rsidR="00FF09E4" w:rsidRPr="004B2B9C">
        <w:rPr>
          <w:sz w:val="25"/>
          <w:szCs w:val="25"/>
        </w:rPr>
        <w:t xml:space="preserve"> (</w:t>
      </w:r>
      <w:r w:rsidR="00601B7F">
        <w:rPr>
          <w:sz w:val="25"/>
          <w:szCs w:val="25"/>
        </w:rPr>
        <w:t>61,1</w:t>
      </w:r>
      <w:r w:rsidR="00FF09E4" w:rsidRPr="004B2B9C">
        <w:rPr>
          <w:sz w:val="25"/>
          <w:szCs w:val="25"/>
        </w:rPr>
        <w:t>%)</w:t>
      </w:r>
      <w:r w:rsidR="005D4E76">
        <w:rPr>
          <w:sz w:val="25"/>
          <w:szCs w:val="25"/>
        </w:rPr>
        <w:t xml:space="preserve">. На </w:t>
      </w:r>
      <w:r w:rsidRPr="004B2B9C">
        <w:rPr>
          <w:sz w:val="25"/>
          <w:szCs w:val="25"/>
        </w:rPr>
        <w:t>приобрет</w:t>
      </w:r>
      <w:r w:rsidRPr="004B2B9C">
        <w:rPr>
          <w:sz w:val="25"/>
          <w:szCs w:val="25"/>
        </w:rPr>
        <w:t>е</w:t>
      </w:r>
      <w:r w:rsidRPr="004B2B9C">
        <w:rPr>
          <w:sz w:val="25"/>
          <w:szCs w:val="25"/>
        </w:rPr>
        <w:t>ние машин, оборудов</w:t>
      </w:r>
      <w:r w:rsidRPr="004B2B9C">
        <w:rPr>
          <w:sz w:val="25"/>
          <w:szCs w:val="25"/>
        </w:rPr>
        <w:t>а</w:t>
      </w:r>
      <w:r w:rsidRPr="004B2B9C">
        <w:rPr>
          <w:sz w:val="25"/>
          <w:szCs w:val="25"/>
        </w:rPr>
        <w:t>ния, транспортных средств и хозяйственн</w:t>
      </w:r>
      <w:r w:rsidRPr="004B2B9C">
        <w:rPr>
          <w:sz w:val="25"/>
          <w:szCs w:val="25"/>
        </w:rPr>
        <w:t>о</w:t>
      </w:r>
      <w:r w:rsidRPr="004B2B9C">
        <w:rPr>
          <w:sz w:val="25"/>
          <w:szCs w:val="25"/>
        </w:rPr>
        <w:t>го инвентаря было и</w:t>
      </w:r>
      <w:r w:rsidRPr="004B2B9C">
        <w:rPr>
          <w:sz w:val="25"/>
          <w:szCs w:val="25"/>
        </w:rPr>
        <w:t>с</w:t>
      </w:r>
      <w:r w:rsidRPr="004B2B9C">
        <w:rPr>
          <w:sz w:val="25"/>
          <w:szCs w:val="25"/>
        </w:rPr>
        <w:t xml:space="preserve">пользовано </w:t>
      </w:r>
      <w:r w:rsidR="00B26944">
        <w:rPr>
          <w:sz w:val="25"/>
          <w:szCs w:val="25"/>
        </w:rPr>
        <w:t>19,3</w:t>
      </w:r>
      <w:r w:rsidRPr="004B2B9C">
        <w:rPr>
          <w:sz w:val="25"/>
          <w:szCs w:val="25"/>
        </w:rPr>
        <w:t>% от общего объема инв</w:t>
      </w:r>
      <w:r w:rsidRPr="004B2B9C">
        <w:rPr>
          <w:sz w:val="25"/>
          <w:szCs w:val="25"/>
        </w:rPr>
        <w:t>е</w:t>
      </w:r>
      <w:r w:rsidRPr="004B2B9C">
        <w:rPr>
          <w:sz w:val="25"/>
          <w:szCs w:val="25"/>
        </w:rPr>
        <w:t>стиций.</w:t>
      </w:r>
    </w:p>
    <w:p w:rsidR="00B41DC4" w:rsidRDefault="00DF6059" w:rsidP="00DF6059">
      <w:pPr>
        <w:spacing w:line="288" w:lineRule="auto"/>
        <w:jc w:val="both"/>
        <w:rPr>
          <w:sz w:val="25"/>
          <w:szCs w:val="25"/>
        </w:rPr>
      </w:pPr>
      <w:r w:rsidRPr="00DF6059">
        <w:rPr>
          <w:sz w:val="25"/>
          <w:szCs w:val="25"/>
        </w:rPr>
        <w:t xml:space="preserve">       </w:t>
      </w:r>
    </w:p>
    <w:p w:rsidR="002E27C1" w:rsidRPr="002E27C1" w:rsidRDefault="002E27C1" w:rsidP="008E2773">
      <w:pPr>
        <w:pStyle w:val="a8"/>
        <w:spacing w:before="120" w:after="120" w:line="288" w:lineRule="auto"/>
        <w:rPr>
          <w:sz w:val="25"/>
          <w:szCs w:val="25"/>
          <w:lang w:val="ru-RU"/>
        </w:rPr>
      </w:pPr>
      <w:r w:rsidRPr="002E27C1">
        <w:rPr>
          <w:b/>
          <w:sz w:val="25"/>
          <w:szCs w:val="25"/>
          <w:lang w:val="ru-RU"/>
        </w:rPr>
        <w:t>Территориально обособленными подразделениями</w:t>
      </w:r>
      <w:r w:rsidRPr="002E27C1">
        <w:rPr>
          <w:sz w:val="25"/>
          <w:szCs w:val="25"/>
          <w:lang w:val="ru-RU"/>
        </w:rPr>
        <w:t xml:space="preserve"> организаций, зарегистрирова</w:t>
      </w:r>
      <w:r w:rsidRPr="002E27C1">
        <w:rPr>
          <w:sz w:val="25"/>
          <w:szCs w:val="25"/>
          <w:lang w:val="ru-RU"/>
        </w:rPr>
        <w:t>н</w:t>
      </w:r>
      <w:r w:rsidRPr="002E27C1">
        <w:rPr>
          <w:sz w:val="25"/>
          <w:szCs w:val="25"/>
          <w:lang w:val="ru-RU"/>
        </w:rPr>
        <w:t xml:space="preserve">ных на территории других субъектов РФ, осуществлено инвестиций на сумму </w:t>
      </w:r>
      <w:r w:rsidR="00BF2448">
        <w:rPr>
          <w:sz w:val="25"/>
          <w:szCs w:val="25"/>
          <w:lang w:val="ru-RU"/>
        </w:rPr>
        <w:t>234,5</w:t>
      </w:r>
      <w:r w:rsidR="00616EF4">
        <w:rPr>
          <w:sz w:val="25"/>
          <w:szCs w:val="25"/>
          <w:lang w:val="ru-RU"/>
        </w:rPr>
        <w:t xml:space="preserve"> миллиарда</w:t>
      </w:r>
      <w:r w:rsidRPr="002E27C1">
        <w:rPr>
          <w:sz w:val="25"/>
          <w:szCs w:val="25"/>
          <w:lang w:val="ru-RU"/>
        </w:rPr>
        <w:t xml:space="preserve"> рублей</w:t>
      </w:r>
      <w:r w:rsidR="0076052F">
        <w:rPr>
          <w:sz w:val="25"/>
          <w:szCs w:val="25"/>
          <w:lang w:val="ru-RU"/>
        </w:rPr>
        <w:t xml:space="preserve">, </w:t>
      </w:r>
      <w:r w:rsidRPr="002E27C1">
        <w:rPr>
          <w:sz w:val="25"/>
          <w:szCs w:val="25"/>
          <w:lang w:val="ru-RU"/>
        </w:rPr>
        <w:t xml:space="preserve"> что на </w:t>
      </w:r>
      <w:r w:rsidR="00BF2448">
        <w:rPr>
          <w:sz w:val="25"/>
          <w:szCs w:val="25"/>
          <w:lang w:val="ru-RU"/>
        </w:rPr>
        <w:t>11,0</w:t>
      </w:r>
      <w:r w:rsidRPr="002E27C1">
        <w:rPr>
          <w:sz w:val="25"/>
          <w:szCs w:val="25"/>
          <w:lang w:val="ru-RU"/>
        </w:rPr>
        <w:t>% больше, чем в соответствующем периоде предыдущего года. Их доля в общем объеме инвестиций, осуществленных организациями на территории республики, сост</w:t>
      </w:r>
      <w:r w:rsidRPr="002E27C1">
        <w:rPr>
          <w:sz w:val="25"/>
          <w:szCs w:val="25"/>
          <w:lang w:val="ru-RU"/>
        </w:rPr>
        <w:t>а</w:t>
      </w:r>
      <w:r w:rsidRPr="002E27C1">
        <w:rPr>
          <w:sz w:val="25"/>
          <w:szCs w:val="25"/>
          <w:lang w:val="ru-RU"/>
        </w:rPr>
        <w:t xml:space="preserve">вила </w:t>
      </w:r>
      <w:r w:rsidR="00BF2448">
        <w:rPr>
          <w:sz w:val="25"/>
          <w:szCs w:val="25"/>
          <w:lang w:val="ru-RU"/>
        </w:rPr>
        <w:t>64,0</w:t>
      </w:r>
      <w:r w:rsidR="00616EF4">
        <w:rPr>
          <w:sz w:val="25"/>
          <w:szCs w:val="25"/>
          <w:lang w:val="ru-RU"/>
        </w:rPr>
        <w:t>%.</w:t>
      </w:r>
    </w:p>
    <w:p w:rsidR="008E2773" w:rsidRDefault="0076052F" w:rsidP="008E2773">
      <w:pPr>
        <w:pStyle w:val="a8"/>
        <w:spacing w:after="120" w:line="288" w:lineRule="auto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На строительство</w:t>
      </w:r>
      <w:r w:rsidR="002E27C1" w:rsidRPr="002E27C1">
        <w:rPr>
          <w:sz w:val="25"/>
          <w:szCs w:val="25"/>
          <w:lang w:val="ru-RU"/>
        </w:rPr>
        <w:t xml:space="preserve"> объекта </w:t>
      </w:r>
      <w:r w:rsidR="002E27C1" w:rsidRPr="0076052F">
        <w:rPr>
          <w:b/>
          <w:sz w:val="25"/>
          <w:szCs w:val="25"/>
          <w:lang w:val="ru-RU"/>
        </w:rPr>
        <w:t>«Магистральный газопровод «Сила Сибири»</w:t>
      </w:r>
      <w:r w:rsidR="002E27C1" w:rsidRPr="002E27C1">
        <w:rPr>
          <w:sz w:val="25"/>
          <w:szCs w:val="25"/>
          <w:lang w:val="ru-RU"/>
        </w:rPr>
        <w:t xml:space="preserve"> осуществл</w:t>
      </w:r>
      <w:r w:rsidR="002E27C1" w:rsidRPr="002E27C1">
        <w:rPr>
          <w:sz w:val="25"/>
          <w:szCs w:val="25"/>
          <w:lang w:val="ru-RU"/>
        </w:rPr>
        <w:t>е</w:t>
      </w:r>
      <w:r w:rsidR="002E27C1" w:rsidRPr="002E27C1">
        <w:rPr>
          <w:sz w:val="25"/>
          <w:szCs w:val="25"/>
          <w:lang w:val="ru-RU"/>
        </w:rPr>
        <w:t xml:space="preserve">но инвестиций на сумму </w:t>
      </w:r>
      <w:r w:rsidR="00BF2448">
        <w:rPr>
          <w:sz w:val="25"/>
          <w:szCs w:val="25"/>
          <w:lang w:val="ru-RU"/>
        </w:rPr>
        <w:t>190,8</w:t>
      </w:r>
      <w:r w:rsidR="002E27C1" w:rsidRPr="002E27C1">
        <w:rPr>
          <w:sz w:val="25"/>
          <w:szCs w:val="25"/>
          <w:lang w:val="ru-RU"/>
        </w:rPr>
        <w:t xml:space="preserve"> м</w:t>
      </w:r>
      <w:r>
        <w:rPr>
          <w:sz w:val="25"/>
          <w:szCs w:val="25"/>
          <w:lang w:val="ru-RU"/>
        </w:rPr>
        <w:t>иллиарда</w:t>
      </w:r>
      <w:r w:rsidR="002E27C1" w:rsidRPr="002E27C1">
        <w:rPr>
          <w:sz w:val="25"/>
          <w:szCs w:val="25"/>
          <w:lang w:val="ru-RU"/>
        </w:rPr>
        <w:t xml:space="preserve"> рублей, или </w:t>
      </w:r>
      <w:r w:rsidR="00BF2448">
        <w:rPr>
          <w:sz w:val="25"/>
          <w:szCs w:val="25"/>
          <w:lang w:val="ru-RU"/>
        </w:rPr>
        <w:t>52,1</w:t>
      </w:r>
      <w:r w:rsidR="002E27C1" w:rsidRPr="002E27C1">
        <w:rPr>
          <w:sz w:val="25"/>
          <w:szCs w:val="25"/>
          <w:lang w:val="ru-RU"/>
        </w:rPr>
        <w:t>% от общего объема инвестиций,  осуществл</w:t>
      </w:r>
      <w:r w:rsidR="00645C64">
        <w:rPr>
          <w:sz w:val="25"/>
          <w:szCs w:val="25"/>
          <w:lang w:val="ru-RU"/>
        </w:rPr>
        <w:t xml:space="preserve">енных на территории республики. </w:t>
      </w:r>
      <w:r w:rsidR="002E27C1" w:rsidRPr="002E27C1">
        <w:rPr>
          <w:sz w:val="25"/>
          <w:szCs w:val="25"/>
          <w:lang w:val="ru-RU"/>
        </w:rPr>
        <w:t xml:space="preserve">По сравнению с соответствующим периодом предыдущего года показатель увеличился на </w:t>
      </w:r>
      <w:r w:rsidR="00BF2448">
        <w:rPr>
          <w:sz w:val="25"/>
          <w:szCs w:val="25"/>
          <w:lang w:val="ru-RU"/>
        </w:rPr>
        <w:t>19,2</w:t>
      </w:r>
      <w:r w:rsidR="002E27C1" w:rsidRPr="002E27C1">
        <w:rPr>
          <w:sz w:val="25"/>
          <w:szCs w:val="25"/>
          <w:lang w:val="ru-RU"/>
        </w:rPr>
        <w:t>%.</w:t>
      </w:r>
    </w:p>
    <w:p w:rsidR="008E2773" w:rsidRDefault="008E2773" w:rsidP="008E2773">
      <w:pPr>
        <w:pStyle w:val="a8"/>
        <w:spacing w:after="120" w:line="288" w:lineRule="auto"/>
        <w:rPr>
          <w:sz w:val="25"/>
          <w:szCs w:val="25"/>
          <w:lang w:val="ru-RU"/>
        </w:rPr>
      </w:pPr>
    </w:p>
    <w:p w:rsidR="0079166E" w:rsidRDefault="0079166E" w:rsidP="008E2773">
      <w:pPr>
        <w:pStyle w:val="a8"/>
        <w:spacing w:after="120" w:line="288" w:lineRule="auto"/>
        <w:rPr>
          <w:sz w:val="25"/>
          <w:szCs w:val="25"/>
          <w:lang w:val="ru-RU"/>
        </w:rPr>
      </w:pPr>
    </w:p>
    <w:p w:rsidR="008E2773" w:rsidRDefault="0079166E" w:rsidP="008E2773">
      <w:pPr>
        <w:pStyle w:val="a8"/>
        <w:spacing w:after="120" w:line="288" w:lineRule="auto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Основной объем инвестиций в основной капитал в 2018 г. приходился на добычу п</w:t>
      </w:r>
      <w:r>
        <w:rPr>
          <w:sz w:val="25"/>
          <w:szCs w:val="25"/>
          <w:lang w:val="ru-RU"/>
        </w:rPr>
        <w:t>о</w:t>
      </w:r>
      <w:r>
        <w:rPr>
          <w:sz w:val="25"/>
          <w:szCs w:val="25"/>
          <w:lang w:val="ru-RU"/>
        </w:rPr>
        <w:t>лезных ископаемых и транспортировку и хранение.</w:t>
      </w:r>
    </w:p>
    <w:p w:rsidR="008E2773" w:rsidRDefault="006E1B6F" w:rsidP="008E2773">
      <w:pPr>
        <w:pStyle w:val="a8"/>
        <w:spacing w:after="120" w:line="288" w:lineRule="auto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inline distT="0" distB="0" distL="0" distR="0">
            <wp:extent cx="6191250" cy="3638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69D0" w:rsidRDefault="00EB1810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1251B0">
        <w:rPr>
          <w:sz w:val="25"/>
          <w:szCs w:val="25"/>
        </w:rPr>
        <w:t>Основным источником финансирования инвестиций в основной капитал были привл</w:t>
      </w:r>
      <w:r w:rsidRPr="001251B0">
        <w:rPr>
          <w:sz w:val="25"/>
          <w:szCs w:val="25"/>
        </w:rPr>
        <w:t>е</w:t>
      </w:r>
      <w:r w:rsidR="00A24E0B" w:rsidRPr="001251B0">
        <w:rPr>
          <w:sz w:val="25"/>
          <w:szCs w:val="25"/>
        </w:rPr>
        <w:t>ченные средства (</w:t>
      </w:r>
      <w:r w:rsidR="007B2F8E">
        <w:rPr>
          <w:sz w:val="25"/>
          <w:szCs w:val="25"/>
        </w:rPr>
        <w:t>66,1</w:t>
      </w:r>
      <w:r w:rsidR="00A24E0B" w:rsidRPr="001251B0">
        <w:rPr>
          <w:sz w:val="25"/>
          <w:szCs w:val="25"/>
        </w:rPr>
        <w:t xml:space="preserve">%), на собственные средства организаций приходилось </w:t>
      </w:r>
      <w:r w:rsidR="007B2F8E">
        <w:rPr>
          <w:sz w:val="25"/>
          <w:szCs w:val="25"/>
        </w:rPr>
        <w:t>33,9</w:t>
      </w:r>
      <w:r w:rsidR="00A24E0B" w:rsidRPr="001251B0">
        <w:rPr>
          <w:sz w:val="25"/>
          <w:szCs w:val="25"/>
        </w:rPr>
        <w:t>% капитал</w:t>
      </w:r>
      <w:r w:rsidR="00A24E0B" w:rsidRPr="001251B0">
        <w:rPr>
          <w:sz w:val="25"/>
          <w:szCs w:val="25"/>
        </w:rPr>
        <w:t>ь</w:t>
      </w:r>
      <w:r w:rsidR="00A24E0B" w:rsidRPr="001251B0">
        <w:rPr>
          <w:sz w:val="25"/>
          <w:szCs w:val="25"/>
        </w:rPr>
        <w:t xml:space="preserve">ных вложений.  </w:t>
      </w:r>
      <w:r w:rsidR="001251B0" w:rsidRPr="001251B0">
        <w:rPr>
          <w:sz w:val="25"/>
          <w:szCs w:val="25"/>
        </w:rPr>
        <w:t>В структуре привлеченных сре</w:t>
      </w:r>
      <w:proofErr w:type="gramStart"/>
      <w:r w:rsidR="001251B0" w:rsidRPr="001251B0">
        <w:rPr>
          <w:sz w:val="25"/>
          <w:szCs w:val="25"/>
        </w:rPr>
        <w:t>дств пр</w:t>
      </w:r>
      <w:proofErr w:type="gramEnd"/>
      <w:r w:rsidR="001251B0" w:rsidRPr="001251B0">
        <w:rPr>
          <w:sz w:val="25"/>
          <w:szCs w:val="25"/>
        </w:rPr>
        <w:t>еобладали прочие источники финанс</w:t>
      </w:r>
      <w:r w:rsidR="001251B0" w:rsidRPr="001251B0">
        <w:rPr>
          <w:sz w:val="25"/>
          <w:szCs w:val="25"/>
        </w:rPr>
        <w:t>и</w:t>
      </w:r>
      <w:r w:rsidR="001251B0" w:rsidRPr="001251B0">
        <w:rPr>
          <w:sz w:val="25"/>
          <w:szCs w:val="25"/>
        </w:rPr>
        <w:t>рования (средства вышестоящей орган</w:t>
      </w:r>
      <w:r w:rsidR="001251B0" w:rsidRPr="001251B0">
        <w:rPr>
          <w:sz w:val="25"/>
          <w:szCs w:val="25"/>
        </w:rPr>
        <w:t>и</w:t>
      </w:r>
      <w:r w:rsidR="001251B0" w:rsidRPr="001251B0">
        <w:rPr>
          <w:sz w:val="25"/>
          <w:szCs w:val="25"/>
        </w:rPr>
        <w:t>зации, средства от эмиссии акций, сре</w:t>
      </w:r>
      <w:r w:rsidR="001251B0" w:rsidRPr="001251B0">
        <w:rPr>
          <w:sz w:val="25"/>
          <w:szCs w:val="25"/>
        </w:rPr>
        <w:t>д</w:t>
      </w:r>
      <w:r w:rsidR="001251B0" w:rsidRPr="001251B0">
        <w:rPr>
          <w:sz w:val="25"/>
          <w:szCs w:val="25"/>
        </w:rPr>
        <w:t>ства от выпуска корпоративных облиг</w:t>
      </w:r>
      <w:r w:rsidR="001251B0" w:rsidRPr="001251B0">
        <w:rPr>
          <w:sz w:val="25"/>
          <w:szCs w:val="25"/>
        </w:rPr>
        <w:t>а</w:t>
      </w:r>
      <w:r w:rsidR="001251B0" w:rsidRPr="001251B0">
        <w:rPr>
          <w:sz w:val="25"/>
          <w:szCs w:val="25"/>
        </w:rPr>
        <w:t xml:space="preserve">ций и </w:t>
      </w:r>
      <w:r w:rsidR="00980E03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2936240</wp:posOffset>
            </wp:positionH>
            <wp:positionV relativeFrom="margin">
              <wp:posOffset>5412740</wp:posOffset>
            </wp:positionV>
            <wp:extent cx="3629025" cy="254317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251B0" w:rsidRPr="001251B0">
        <w:rPr>
          <w:sz w:val="25"/>
          <w:szCs w:val="25"/>
        </w:rPr>
        <w:t>пр.)</w:t>
      </w:r>
      <w:r w:rsidR="001251B0">
        <w:rPr>
          <w:sz w:val="25"/>
          <w:szCs w:val="25"/>
        </w:rPr>
        <w:t>.</w:t>
      </w:r>
    </w:p>
    <w:p w:rsidR="007D2C4A" w:rsidRDefault="007D2C4A" w:rsidP="00226498">
      <w:pPr>
        <w:spacing w:line="28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 счет средств бюджетов всех уровней осуществлено инвестиций на сумму </w:t>
      </w:r>
      <w:r w:rsidR="007B2F8E">
        <w:rPr>
          <w:sz w:val="25"/>
          <w:szCs w:val="25"/>
        </w:rPr>
        <w:t>26,4</w:t>
      </w:r>
      <w:r>
        <w:rPr>
          <w:sz w:val="25"/>
          <w:szCs w:val="25"/>
        </w:rPr>
        <w:t xml:space="preserve"> млрд. рублей, в том числе за счет федерального бюджета – </w:t>
      </w:r>
      <w:r w:rsidR="007B2F8E">
        <w:rPr>
          <w:sz w:val="25"/>
          <w:szCs w:val="25"/>
        </w:rPr>
        <w:t>11</w:t>
      </w:r>
      <w:r>
        <w:rPr>
          <w:sz w:val="25"/>
          <w:szCs w:val="25"/>
        </w:rPr>
        <w:t>,3 млрд. рублей, республиканского бюджета –</w:t>
      </w:r>
      <w:r w:rsidR="007B2F8E">
        <w:rPr>
          <w:sz w:val="25"/>
          <w:szCs w:val="25"/>
        </w:rPr>
        <w:t xml:space="preserve"> 9,0</w:t>
      </w:r>
      <w:r>
        <w:rPr>
          <w:sz w:val="25"/>
          <w:szCs w:val="25"/>
        </w:rPr>
        <w:t xml:space="preserve"> мл</w:t>
      </w:r>
      <w:r w:rsidR="007B2F8E">
        <w:rPr>
          <w:sz w:val="25"/>
          <w:szCs w:val="25"/>
        </w:rPr>
        <w:t>рд. рублей, местных бюджетов – 6</w:t>
      </w:r>
      <w:r>
        <w:rPr>
          <w:sz w:val="25"/>
          <w:szCs w:val="25"/>
        </w:rPr>
        <w:t>,1 млрд. рублей.</w:t>
      </w:r>
    </w:p>
    <w:p w:rsidR="001806AF" w:rsidRPr="00B532C6" w:rsidRDefault="00226498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545EB9">
        <w:rPr>
          <w:sz w:val="25"/>
          <w:szCs w:val="25"/>
        </w:rPr>
        <w:t xml:space="preserve">Среди </w:t>
      </w:r>
      <w:r w:rsidR="00B2313D" w:rsidRPr="00545EB9">
        <w:rPr>
          <w:sz w:val="25"/>
          <w:szCs w:val="25"/>
        </w:rPr>
        <w:t>районов республики</w:t>
      </w:r>
      <w:r w:rsidR="001806AF" w:rsidRPr="00545EB9">
        <w:rPr>
          <w:sz w:val="25"/>
          <w:szCs w:val="25"/>
        </w:rPr>
        <w:t xml:space="preserve"> </w:t>
      </w:r>
      <w:r w:rsidR="001806AF" w:rsidRPr="00B532C6">
        <w:rPr>
          <w:sz w:val="25"/>
          <w:szCs w:val="25"/>
        </w:rPr>
        <w:t>на</w:t>
      </w:r>
      <w:r w:rsidR="001806AF" w:rsidRPr="00B532C6">
        <w:rPr>
          <w:sz w:val="25"/>
          <w:szCs w:val="25"/>
        </w:rPr>
        <w:t>и</w:t>
      </w:r>
      <w:r w:rsidR="001806AF" w:rsidRPr="00B532C6">
        <w:rPr>
          <w:sz w:val="25"/>
          <w:szCs w:val="25"/>
        </w:rPr>
        <w:t>больший объем инвестиций был освоен в Ленском,</w:t>
      </w:r>
      <w:r w:rsidR="00980E03" w:rsidRPr="00B532C6">
        <w:rPr>
          <w:sz w:val="25"/>
          <w:szCs w:val="25"/>
        </w:rPr>
        <w:t xml:space="preserve"> </w:t>
      </w:r>
      <w:proofErr w:type="spellStart"/>
      <w:r w:rsidR="001806AF" w:rsidRPr="00B532C6">
        <w:rPr>
          <w:sz w:val="25"/>
          <w:szCs w:val="25"/>
        </w:rPr>
        <w:t>Олекминском</w:t>
      </w:r>
      <w:proofErr w:type="spellEnd"/>
      <w:r w:rsidR="001806AF" w:rsidRPr="00B532C6">
        <w:rPr>
          <w:sz w:val="25"/>
          <w:szCs w:val="25"/>
        </w:rPr>
        <w:t xml:space="preserve">, </w:t>
      </w:r>
      <w:proofErr w:type="spellStart"/>
      <w:r w:rsidR="001806AF" w:rsidRPr="00B532C6">
        <w:rPr>
          <w:sz w:val="25"/>
          <w:szCs w:val="25"/>
        </w:rPr>
        <w:t>Нерюнгринском</w:t>
      </w:r>
      <w:proofErr w:type="spellEnd"/>
      <w:r w:rsidR="001806AF" w:rsidRPr="00B532C6">
        <w:rPr>
          <w:sz w:val="25"/>
          <w:szCs w:val="25"/>
        </w:rPr>
        <w:t xml:space="preserve">, </w:t>
      </w:r>
      <w:proofErr w:type="spellStart"/>
      <w:r w:rsidR="001806AF" w:rsidRPr="00B532C6">
        <w:rPr>
          <w:sz w:val="25"/>
          <w:szCs w:val="25"/>
        </w:rPr>
        <w:t>Алданском</w:t>
      </w:r>
      <w:proofErr w:type="spellEnd"/>
      <w:r w:rsidR="001806AF" w:rsidRPr="00B532C6">
        <w:rPr>
          <w:sz w:val="25"/>
          <w:szCs w:val="25"/>
        </w:rPr>
        <w:t xml:space="preserve"> районах и городе республиканского зн</w:t>
      </w:r>
      <w:r w:rsidR="001806AF" w:rsidRPr="00B532C6">
        <w:rPr>
          <w:sz w:val="25"/>
          <w:szCs w:val="25"/>
        </w:rPr>
        <w:t>а</w:t>
      </w:r>
      <w:r w:rsidR="001806AF" w:rsidRPr="00B532C6">
        <w:rPr>
          <w:sz w:val="25"/>
          <w:szCs w:val="25"/>
        </w:rPr>
        <w:t>чения Якутске.</w:t>
      </w:r>
    </w:p>
    <w:p w:rsidR="001806AF" w:rsidRPr="00B532C6" w:rsidRDefault="001806AF" w:rsidP="00226498">
      <w:pPr>
        <w:spacing w:line="288" w:lineRule="auto"/>
        <w:ind w:firstLine="709"/>
        <w:jc w:val="both"/>
        <w:rPr>
          <w:sz w:val="25"/>
          <w:szCs w:val="25"/>
        </w:rPr>
      </w:pPr>
      <w:proofErr w:type="gramStart"/>
      <w:r w:rsidRPr="00B532C6">
        <w:rPr>
          <w:sz w:val="25"/>
          <w:szCs w:val="25"/>
        </w:rPr>
        <w:t xml:space="preserve">В расчете на душу населения 6 районов превышают </w:t>
      </w:r>
      <w:proofErr w:type="spellStart"/>
      <w:r w:rsidRPr="00B532C6">
        <w:rPr>
          <w:sz w:val="25"/>
          <w:szCs w:val="25"/>
        </w:rPr>
        <w:t>среднереспубликанский</w:t>
      </w:r>
      <w:proofErr w:type="spellEnd"/>
      <w:r w:rsidRPr="00B532C6">
        <w:rPr>
          <w:sz w:val="25"/>
          <w:szCs w:val="25"/>
        </w:rPr>
        <w:t xml:space="preserve"> уровень (</w:t>
      </w:r>
      <w:r w:rsidR="00545EB9" w:rsidRPr="00B532C6">
        <w:rPr>
          <w:sz w:val="25"/>
          <w:szCs w:val="25"/>
        </w:rPr>
        <w:t>379</w:t>
      </w:r>
      <w:r w:rsidRPr="00B532C6">
        <w:rPr>
          <w:sz w:val="25"/>
          <w:szCs w:val="25"/>
        </w:rPr>
        <w:t xml:space="preserve"> тыс. рублей) </w:t>
      </w:r>
      <w:r w:rsidR="00545EB9" w:rsidRPr="00B532C6">
        <w:rPr>
          <w:sz w:val="25"/>
          <w:szCs w:val="25"/>
        </w:rPr>
        <w:t xml:space="preserve"> </w:t>
      </w:r>
      <w:r w:rsidRPr="00B532C6">
        <w:rPr>
          <w:sz w:val="25"/>
          <w:szCs w:val="25"/>
        </w:rPr>
        <w:t>– Ленский (</w:t>
      </w:r>
      <w:r w:rsidR="00545EB9" w:rsidRPr="00B532C6">
        <w:rPr>
          <w:sz w:val="25"/>
          <w:szCs w:val="25"/>
        </w:rPr>
        <w:t xml:space="preserve">4136 тыс. рублей), </w:t>
      </w:r>
      <w:proofErr w:type="spellStart"/>
      <w:r w:rsidR="00545EB9" w:rsidRPr="00B532C6">
        <w:rPr>
          <w:sz w:val="25"/>
          <w:szCs w:val="25"/>
        </w:rPr>
        <w:t>Оленекский</w:t>
      </w:r>
      <w:proofErr w:type="spellEnd"/>
      <w:r w:rsidR="00545EB9" w:rsidRPr="00B532C6">
        <w:rPr>
          <w:sz w:val="25"/>
          <w:szCs w:val="25"/>
        </w:rPr>
        <w:t xml:space="preserve"> (2671</w:t>
      </w:r>
      <w:r w:rsidRPr="00B532C6">
        <w:rPr>
          <w:sz w:val="25"/>
          <w:szCs w:val="25"/>
        </w:rPr>
        <w:t xml:space="preserve"> тыс. рублей), </w:t>
      </w:r>
      <w:proofErr w:type="spellStart"/>
      <w:r w:rsidRPr="00B532C6">
        <w:rPr>
          <w:sz w:val="25"/>
          <w:szCs w:val="25"/>
        </w:rPr>
        <w:t>Олекминский</w:t>
      </w:r>
      <w:proofErr w:type="spellEnd"/>
      <w:r w:rsidRPr="00B532C6">
        <w:rPr>
          <w:sz w:val="25"/>
          <w:szCs w:val="25"/>
        </w:rPr>
        <w:t xml:space="preserve"> (</w:t>
      </w:r>
      <w:r w:rsidR="00545EB9" w:rsidRPr="00B532C6">
        <w:rPr>
          <w:sz w:val="25"/>
          <w:szCs w:val="25"/>
        </w:rPr>
        <w:t>1985</w:t>
      </w:r>
      <w:r w:rsidRPr="00B532C6">
        <w:rPr>
          <w:sz w:val="25"/>
          <w:szCs w:val="25"/>
        </w:rPr>
        <w:t xml:space="preserve"> тыс. рублей), </w:t>
      </w:r>
      <w:proofErr w:type="spellStart"/>
      <w:r w:rsidRPr="00B532C6">
        <w:rPr>
          <w:sz w:val="25"/>
          <w:szCs w:val="25"/>
        </w:rPr>
        <w:t>Алданский</w:t>
      </w:r>
      <w:proofErr w:type="spellEnd"/>
      <w:r w:rsidRPr="00B532C6">
        <w:rPr>
          <w:sz w:val="25"/>
          <w:szCs w:val="25"/>
        </w:rPr>
        <w:t xml:space="preserve"> (</w:t>
      </w:r>
      <w:r w:rsidR="00545EB9" w:rsidRPr="00B532C6">
        <w:rPr>
          <w:sz w:val="25"/>
          <w:szCs w:val="25"/>
        </w:rPr>
        <w:t>686</w:t>
      </w:r>
      <w:r w:rsidRPr="00B532C6">
        <w:rPr>
          <w:sz w:val="25"/>
          <w:szCs w:val="25"/>
        </w:rPr>
        <w:t xml:space="preserve"> тыс. рублей), </w:t>
      </w:r>
      <w:proofErr w:type="spellStart"/>
      <w:r w:rsidR="00B532C6" w:rsidRPr="00B532C6">
        <w:rPr>
          <w:sz w:val="25"/>
          <w:szCs w:val="25"/>
        </w:rPr>
        <w:t>Нерюнгринский</w:t>
      </w:r>
      <w:proofErr w:type="spellEnd"/>
      <w:r w:rsidR="00B532C6" w:rsidRPr="00B532C6">
        <w:rPr>
          <w:sz w:val="25"/>
          <w:szCs w:val="25"/>
        </w:rPr>
        <w:t xml:space="preserve"> (569 тыс. рублей) и </w:t>
      </w:r>
      <w:proofErr w:type="spellStart"/>
      <w:r w:rsidRPr="00B532C6">
        <w:rPr>
          <w:sz w:val="25"/>
          <w:szCs w:val="25"/>
        </w:rPr>
        <w:t>Анаба</w:t>
      </w:r>
      <w:r w:rsidRPr="00B532C6">
        <w:rPr>
          <w:sz w:val="25"/>
          <w:szCs w:val="25"/>
        </w:rPr>
        <w:t>р</w:t>
      </w:r>
      <w:r w:rsidRPr="00B532C6">
        <w:rPr>
          <w:sz w:val="25"/>
          <w:szCs w:val="25"/>
        </w:rPr>
        <w:t>ский</w:t>
      </w:r>
      <w:proofErr w:type="spellEnd"/>
      <w:r w:rsidRPr="00B532C6">
        <w:rPr>
          <w:sz w:val="25"/>
          <w:szCs w:val="25"/>
        </w:rPr>
        <w:t xml:space="preserve"> (</w:t>
      </w:r>
      <w:r w:rsidR="00B532C6" w:rsidRPr="00B532C6">
        <w:rPr>
          <w:sz w:val="25"/>
          <w:szCs w:val="25"/>
        </w:rPr>
        <w:t>548 тыс. рублей).</w:t>
      </w:r>
      <w:proofErr w:type="gramEnd"/>
    </w:p>
    <w:p w:rsidR="001806AF" w:rsidRPr="00B532C6" w:rsidRDefault="00226498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B532C6">
        <w:rPr>
          <w:sz w:val="25"/>
          <w:szCs w:val="25"/>
        </w:rPr>
        <w:t xml:space="preserve"> </w:t>
      </w:r>
    </w:p>
    <w:p w:rsidR="001806AF" w:rsidRPr="00B532C6" w:rsidRDefault="001806AF" w:rsidP="00226498">
      <w:pPr>
        <w:spacing w:line="288" w:lineRule="auto"/>
        <w:ind w:firstLine="709"/>
        <w:jc w:val="both"/>
        <w:rPr>
          <w:b/>
          <w:szCs w:val="25"/>
        </w:rPr>
      </w:pPr>
      <w:r w:rsidRPr="00B532C6">
        <w:rPr>
          <w:b/>
          <w:szCs w:val="25"/>
        </w:rPr>
        <w:lastRenderedPageBreak/>
        <w:t>Топ-10 районов Республики Саха (Якутия) по объему инвестиций в основной капитал</w:t>
      </w:r>
    </w:p>
    <w:tbl>
      <w:tblPr>
        <w:tblStyle w:val="1-5"/>
        <w:tblW w:w="0" w:type="auto"/>
        <w:tblLayout w:type="fixed"/>
        <w:tblLook w:val="04A0"/>
      </w:tblPr>
      <w:tblGrid>
        <w:gridCol w:w="5920"/>
        <w:gridCol w:w="1134"/>
        <w:gridCol w:w="1134"/>
        <w:gridCol w:w="992"/>
        <w:gridCol w:w="1240"/>
      </w:tblGrid>
      <w:tr w:rsidR="00F97CF7" w:rsidRPr="00B532C6" w:rsidTr="001806AF">
        <w:trPr>
          <w:cnfStyle w:val="100000000000"/>
        </w:trPr>
        <w:tc>
          <w:tcPr>
            <w:cnfStyle w:val="001000000000"/>
            <w:tcW w:w="5920" w:type="dxa"/>
          </w:tcPr>
          <w:p w:rsidR="00F97CF7" w:rsidRPr="00B532C6" w:rsidRDefault="00F97CF7" w:rsidP="002F491F">
            <w:pPr>
              <w:spacing w:line="288" w:lineRule="auto"/>
              <w:jc w:val="center"/>
              <w:rPr>
                <w:bCs w:val="0"/>
                <w:color w:val="auto"/>
                <w:kern w:val="36"/>
                <w:sz w:val="20"/>
                <w:szCs w:val="20"/>
              </w:rPr>
            </w:pP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Район</w:t>
            </w:r>
          </w:p>
        </w:tc>
        <w:tc>
          <w:tcPr>
            <w:tcW w:w="1134" w:type="dxa"/>
          </w:tcPr>
          <w:p w:rsidR="00F97CF7" w:rsidRPr="00B532C6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color w:val="auto"/>
                <w:kern w:val="36"/>
                <w:sz w:val="20"/>
                <w:szCs w:val="20"/>
              </w:rPr>
            </w:pP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Инвест</w:t>
            </w: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и</w:t>
            </w: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ции, млн. рублей</w:t>
            </w:r>
          </w:p>
        </w:tc>
        <w:tc>
          <w:tcPr>
            <w:tcW w:w="1134" w:type="dxa"/>
          </w:tcPr>
          <w:p w:rsidR="00F97CF7" w:rsidRPr="00B532C6" w:rsidRDefault="00F97CF7" w:rsidP="00B532C6">
            <w:pPr>
              <w:spacing w:line="288" w:lineRule="auto"/>
              <w:jc w:val="center"/>
              <w:cnfStyle w:val="100000000000"/>
              <w:rPr>
                <w:bCs w:val="0"/>
                <w:color w:val="auto"/>
                <w:kern w:val="36"/>
                <w:sz w:val="20"/>
                <w:szCs w:val="20"/>
              </w:rPr>
            </w:pP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В % к 2017 г.</w:t>
            </w:r>
          </w:p>
        </w:tc>
        <w:tc>
          <w:tcPr>
            <w:tcW w:w="992" w:type="dxa"/>
          </w:tcPr>
          <w:p w:rsidR="00F97CF7" w:rsidRPr="00B532C6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color w:val="auto"/>
                <w:kern w:val="36"/>
                <w:sz w:val="20"/>
                <w:szCs w:val="20"/>
              </w:rPr>
            </w:pPr>
            <w:proofErr w:type="gramStart"/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В</w:t>
            </w:r>
            <w:proofErr w:type="gramEnd"/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 xml:space="preserve"> % к итогу</w:t>
            </w:r>
          </w:p>
        </w:tc>
        <w:tc>
          <w:tcPr>
            <w:tcW w:w="1240" w:type="dxa"/>
          </w:tcPr>
          <w:p w:rsidR="00F97CF7" w:rsidRPr="00B532C6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color w:val="auto"/>
                <w:kern w:val="36"/>
                <w:sz w:val="20"/>
                <w:szCs w:val="20"/>
              </w:rPr>
            </w:pP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На душу населения, тыс.</w:t>
            </w:r>
          </w:p>
          <w:p w:rsidR="00F97CF7" w:rsidRPr="00B532C6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color w:val="auto"/>
                <w:kern w:val="36"/>
                <w:sz w:val="20"/>
                <w:szCs w:val="20"/>
              </w:rPr>
            </w:pPr>
            <w:r w:rsidRPr="00B532C6">
              <w:rPr>
                <w:bCs w:val="0"/>
                <w:color w:val="auto"/>
                <w:kern w:val="36"/>
                <w:sz w:val="20"/>
                <w:szCs w:val="20"/>
              </w:rPr>
              <w:t>рублей</w:t>
            </w:r>
          </w:p>
        </w:tc>
      </w:tr>
      <w:tr w:rsidR="00F97CF7" w:rsidRPr="00545EB9" w:rsidTr="001806AF">
        <w:trPr>
          <w:cnfStyle w:val="000000100000"/>
        </w:trPr>
        <w:tc>
          <w:tcPr>
            <w:cnfStyle w:val="001000000000"/>
            <w:tcW w:w="5920" w:type="dxa"/>
          </w:tcPr>
          <w:p w:rsidR="00F97CF7" w:rsidRPr="00465D3B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r w:rsidRPr="00465D3B">
              <w:rPr>
                <w:bCs w:val="0"/>
                <w:kern w:val="36"/>
                <w:sz w:val="20"/>
                <w:szCs w:val="20"/>
              </w:rPr>
              <w:t>Ленский</w:t>
            </w:r>
          </w:p>
        </w:tc>
        <w:tc>
          <w:tcPr>
            <w:tcW w:w="1134" w:type="dxa"/>
          </w:tcPr>
          <w:p w:rsidR="00F97CF7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  <w:lang w:val="en-US"/>
              </w:rPr>
            </w:pPr>
            <w:r w:rsidRPr="00465D3B">
              <w:rPr>
                <w:bCs/>
                <w:kern w:val="36"/>
                <w:sz w:val="20"/>
                <w:szCs w:val="20"/>
                <w:lang w:val="en-US"/>
              </w:rPr>
              <w:t>152230</w:t>
            </w:r>
          </w:p>
        </w:tc>
        <w:tc>
          <w:tcPr>
            <w:tcW w:w="1134" w:type="dxa"/>
          </w:tcPr>
          <w:p w:rsidR="00F97CF7" w:rsidRPr="00465D3B" w:rsidRDefault="00465D3B" w:rsidP="00465D3B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  <w:lang w:val="en-US"/>
              </w:rPr>
            </w:pPr>
            <w:r w:rsidRPr="00465D3B">
              <w:rPr>
                <w:bCs/>
                <w:kern w:val="36"/>
                <w:sz w:val="20"/>
                <w:szCs w:val="20"/>
                <w:lang w:val="en-US"/>
              </w:rPr>
              <w:t>102</w:t>
            </w:r>
            <w:r w:rsidRPr="00465D3B">
              <w:rPr>
                <w:bCs/>
                <w:kern w:val="36"/>
                <w:sz w:val="20"/>
                <w:szCs w:val="20"/>
              </w:rPr>
              <w:t>,</w:t>
            </w:r>
            <w:r w:rsidRPr="00465D3B">
              <w:rPr>
                <w:bCs/>
                <w:kern w:val="36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F97CF7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  <w:lang w:val="en-US"/>
              </w:rPr>
              <w:t>41</w:t>
            </w:r>
            <w:r w:rsidR="00F97CF7" w:rsidRPr="00465D3B">
              <w:rPr>
                <w:bCs/>
                <w:kern w:val="36"/>
                <w:sz w:val="20"/>
                <w:szCs w:val="20"/>
              </w:rPr>
              <w:t>,6</w:t>
            </w:r>
          </w:p>
        </w:tc>
        <w:tc>
          <w:tcPr>
            <w:tcW w:w="1240" w:type="dxa"/>
          </w:tcPr>
          <w:p w:rsidR="00F97CF7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4136</w:t>
            </w:r>
          </w:p>
        </w:tc>
      </w:tr>
      <w:tr w:rsidR="00465D3B" w:rsidRPr="00545EB9" w:rsidTr="001806AF">
        <w:trPr>
          <w:cnfStyle w:val="000000010000"/>
        </w:trPr>
        <w:tc>
          <w:tcPr>
            <w:cnfStyle w:val="001000000000"/>
            <w:tcW w:w="5920" w:type="dxa"/>
          </w:tcPr>
          <w:p w:rsidR="00465D3B" w:rsidRPr="00465D3B" w:rsidRDefault="00465D3B" w:rsidP="00156A15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r w:rsidRPr="00465D3B">
              <w:rPr>
                <w:bCs w:val="0"/>
                <w:kern w:val="36"/>
                <w:sz w:val="20"/>
                <w:szCs w:val="20"/>
              </w:rPr>
              <w:t>Якутск</w:t>
            </w:r>
          </w:p>
        </w:tc>
        <w:tc>
          <w:tcPr>
            <w:tcW w:w="1134" w:type="dxa"/>
          </w:tcPr>
          <w:p w:rsidR="00465D3B" w:rsidRPr="00465D3B" w:rsidRDefault="00465D3B" w:rsidP="00156A15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49844</w:t>
            </w:r>
          </w:p>
        </w:tc>
        <w:tc>
          <w:tcPr>
            <w:tcW w:w="1134" w:type="dxa"/>
          </w:tcPr>
          <w:p w:rsidR="00465D3B" w:rsidRPr="00465D3B" w:rsidRDefault="00465D3B" w:rsidP="00156A15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122,8</w:t>
            </w:r>
          </w:p>
        </w:tc>
        <w:tc>
          <w:tcPr>
            <w:tcW w:w="992" w:type="dxa"/>
          </w:tcPr>
          <w:p w:rsidR="00465D3B" w:rsidRPr="00465D3B" w:rsidRDefault="00465D3B" w:rsidP="00156A15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13,6</w:t>
            </w:r>
          </w:p>
        </w:tc>
        <w:tc>
          <w:tcPr>
            <w:tcW w:w="1240" w:type="dxa"/>
          </w:tcPr>
          <w:p w:rsidR="00465D3B" w:rsidRPr="00465D3B" w:rsidRDefault="00465D3B" w:rsidP="00156A15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146</w:t>
            </w:r>
          </w:p>
        </w:tc>
      </w:tr>
      <w:tr w:rsidR="00465D3B" w:rsidRPr="00545EB9" w:rsidTr="001806AF">
        <w:trPr>
          <w:cnfStyle w:val="000000100000"/>
        </w:trPr>
        <w:tc>
          <w:tcPr>
            <w:cnfStyle w:val="001000000000"/>
            <w:tcW w:w="5920" w:type="dxa"/>
          </w:tcPr>
          <w:p w:rsidR="00465D3B" w:rsidRPr="00465D3B" w:rsidRDefault="00465D3B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465D3B">
              <w:rPr>
                <w:bCs w:val="0"/>
                <w:kern w:val="36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49216</w:t>
            </w:r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90,5</w:t>
            </w:r>
          </w:p>
        </w:tc>
        <w:tc>
          <w:tcPr>
            <w:tcW w:w="992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13,4</w:t>
            </w:r>
          </w:p>
        </w:tc>
        <w:tc>
          <w:tcPr>
            <w:tcW w:w="1240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1985</w:t>
            </w:r>
          </w:p>
        </w:tc>
      </w:tr>
      <w:tr w:rsidR="00465D3B" w:rsidRPr="00545EB9" w:rsidTr="001806AF">
        <w:trPr>
          <w:cnfStyle w:val="000000010000"/>
        </w:trPr>
        <w:tc>
          <w:tcPr>
            <w:cnfStyle w:val="001000000000"/>
            <w:tcW w:w="5920" w:type="dxa"/>
          </w:tcPr>
          <w:p w:rsidR="00465D3B" w:rsidRPr="00465D3B" w:rsidRDefault="00465D3B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465D3B">
              <w:rPr>
                <w:bCs w:val="0"/>
                <w:kern w:val="36"/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41927</w:t>
            </w:r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137,1</w:t>
            </w:r>
          </w:p>
        </w:tc>
        <w:tc>
          <w:tcPr>
            <w:tcW w:w="992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11,4</w:t>
            </w:r>
          </w:p>
        </w:tc>
        <w:tc>
          <w:tcPr>
            <w:tcW w:w="1240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569</w:t>
            </w:r>
          </w:p>
        </w:tc>
      </w:tr>
      <w:tr w:rsidR="00465D3B" w:rsidRPr="00545EB9" w:rsidTr="001806AF">
        <w:trPr>
          <w:cnfStyle w:val="000000100000"/>
        </w:trPr>
        <w:tc>
          <w:tcPr>
            <w:cnfStyle w:val="001000000000"/>
            <w:tcW w:w="5920" w:type="dxa"/>
          </w:tcPr>
          <w:p w:rsidR="00465D3B" w:rsidRPr="00465D3B" w:rsidRDefault="00465D3B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465D3B">
              <w:rPr>
                <w:bCs w:val="0"/>
                <w:kern w:val="36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26748</w:t>
            </w:r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84,1</w:t>
            </w:r>
          </w:p>
        </w:tc>
        <w:tc>
          <w:tcPr>
            <w:tcW w:w="992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7,3</w:t>
            </w:r>
          </w:p>
        </w:tc>
        <w:tc>
          <w:tcPr>
            <w:tcW w:w="1240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686</w:t>
            </w:r>
          </w:p>
        </w:tc>
      </w:tr>
      <w:tr w:rsidR="00465D3B" w:rsidRPr="00545EB9" w:rsidTr="001806AF">
        <w:trPr>
          <w:cnfStyle w:val="000000010000"/>
        </w:trPr>
        <w:tc>
          <w:tcPr>
            <w:cnfStyle w:val="001000000000"/>
            <w:tcW w:w="5920" w:type="dxa"/>
          </w:tcPr>
          <w:p w:rsidR="00465D3B" w:rsidRPr="00465D3B" w:rsidRDefault="00465D3B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465D3B">
              <w:rPr>
                <w:bCs w:val="0"/>
                <w:kern w:val="36"/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16939</w:t>
            </w:r>
          </w:p>
        </w:tc>
        <w:tc>
          <w:tcPr>
            <w:tcW w:w="1134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88,4</w:t>
            </w:r>
          </w:p>
        </w:tc>
        <w:tc>
          <w:tcPr>
            <w:tcW w:w="992" w:type="dxa"/>
          </w:tcPr>
          <w:p w:rsidR="00465D3B" w:rsidRPr="00465D3B" w:rsidRDefault="00465D3B" w:rsidP="00465D3B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4,6</w:t>
            </w:r>
          </w:p>
        </w:tc>
        <w:tc>
          <w:tcPr>
            <w:tcW w:w="1240" w:type="dxa"/>
          </w:tcPr>
          <w:p w:rsidR="00465D3B" w:rsidRPr="00465D3B" w:rsidRDefault="00465D3B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465D3B">
              <w:rPr>
                <w:bCs/>
                <w:kern w:val="36"/>
                <w:sz w:val="20"/>
                <w:szCs w:val="20"/>
              </w:rPr>
              <w:t>234</w:t>
            </w:r>
          </w:p>
        </w:tc>
      </w:tr>
      <w:tr w:rsidR="00465D3B" w:rsidRPr="00545EB9" w:rsidTr="001806AF">
        <w:trPr>
          <w:cnfStyle w:val="000000100000"/>
        </w:trPr>
        <w:tc>
          <w:tcPr>
            <w:cnfStyle w:val="001000000000"/>
            <w:tcW w:w="5920" w:type="dxa"/>
          </w:tcPr>
          <w:p w:rsidR="00465D3B" w:rsidRPr="00156A15" w:rsidRDefault="00465D3B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156A15">
              <w:rPr>
                <w:bCs w:val="0"/>
                <w:kern w:val="36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134" w:type="dxa"/>
          </w:tcPr>
          <w:p w:rsidR="00465D3B" w:rsidRPr="00156A15" w:rsidRDefault="00156A15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10979</w:t>
            </w:r>
          </w:p>
        </w:tc>
        <w:tc>
          <w:tcPr>
            <w:tcW w:w="1134" w:type="dxa"/>
          </w:tcPr>
          <w:p w:rsidR="00465D3B" w:rsidRPr="00156A15" w:rsidRDefault="00465D3B" w:rsidP="00156A15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в 2,</w:t>
            </w:r>
            <w:r w:rsidR="00156A15" w:rsidRPr="00156A15">
              <w:rPr>
                <w:bCs/>
                <w:kern w:val="36"/>
                <w:sz w:val="20"/>
                <w:szCs w:val="20"/>
              </w:rPr>
              <w:t>2</w:t>
            </w:r>
            <w:r w:rsidRPr="00156A15">
              <w:rPr>
                <w:bCs/>
                <w:kern w:val="36"/>
                <w:sz w:val="20"/>
                <w:szCs w:val="20"/>
              </w:rPr>
              <w:t>р.</w:t>
            </w:r>
          </w:p>
        </w:tc>
        <w:tc>
          <w:tcPr>
            <w:tcW w:w="992" w:type="dxa"/>
          </w:tcPr>
          <w:p w:rsidR="00465D3B" w:rsidRPr="00156A15" w:rsidRDefault="00465D3B" w:rsidP="00156A15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3,</w:t>
            </w:r>
            <w:r w:rsidR="00156A15" w:rsidRPr="00156A15"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465D3B" w:rsidRPr="00156A15" w:rsidRDefault="00156A15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2671</w:t>
            </w:r>
          </w:p>
        </w:tc>
      </w:tr>
      <w:tr w:rsidR="00156A15" w:rsidRPr="00545EB9" w:rsidTr="001806AF">
        <w:trPr>
          <w:cnfStyle w:val="000000010000"/>
        </w:trPr>
        <w:tc>
          <w:tcPr>
            <w:cnfStyle w:val="001000000000"/>
            <w:tcW w:w="5920" w:type="dxa"/>
          </w:tcPr>
          <w:p w:rsidR="00156A15" w:rsidRPr="00156A15" w:rsidRDefault="00156A15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156A15">
              <w:rPr>
                <w:bCs w:val="0"/>
                <w:kern w:val="36"/>
                <w:sz w:val="20"/>
                <w:szCs w:val="20"/>
              </w:rPr>
              <w:t>Хангаласский</w:t>
            </w:r>
            <w:proofErr w:type="spellEnd"/>
          </w:p>
        </w:tc>
        <w:tc>
          <w:tcPr>
            <w:tcW w:w="1134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3348</w:t>
            </w:r>
          </w:p>
        </w:tc>
        <w:tc>
          <w:tcPr>
            <w:tcW w:w="1134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в 3,9р.</w:t>
            </w:r>
          </w:p>
        </w:tc>
        <w:tc>
          <w:tcPr>
            <w:tcW w:w="992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0,9</w:t>
            </w:r>
          </w:p>
        </w:tc>
        <w:tc>
          <w:tcPr>
            <w:tcW w:w="1240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102</w:t>
            </w:r>
          </w:p>
        </w:tc>
      </w:tr>
      <w:tr w:rsidR="00156A15" w:rsidRPr="00545EB9" w:rsidTr="001806AF">
        <w:trPr>
          <w:cnfStyle w:val="000000100000"/>
        </w:trPr>
        <w:tc>
          <w:tcPr>
            <w:cnfStyle w:val="001000000000"/>
            <w:tcW w:w="5920" w:type="dxa"/>
          </w:tcPr>
          <w:p w:rsidR="00156A15" w:rsidRPr="00156A15" w:rsidRDefault="00156A15" w:rsidP="00156A15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156A15">
              <w:rPr>
                <w:bCs w:val="0"/>
                <w:kern w:val="36"/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1134" w:type="dxa"/>
          </w:tcPr>
          <w:p w:rsidR="00156A15" w:rsidRPr="00156A15" w:rsidRDefault="00156A15" w:rsidP="00156A15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1979</w:t>
            </w:r>
          </w:p>
        </w:tc>
        <w:tc>
          <w:tcPr>
            <w:tcW w:w="1134" w:type="dxa"/>
          </w:tcPr>
          <w:p w:rsidR="00156A15" w:rsidRPr="00156A15" w:rsidRDefault="00156A15" w:rsidP="00156A15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182,3</w:t>
            </w:r>
          </w:p>
        </w:tc>
        <w:tc>
          <w:tcPr>
            <w:tcW w:w="992" w:type="dxa"/>
          </w:tcPr>
          <w:p w:rsidR="00156A15" w:rsidRPr="00156A15" w:rsidRDefault="00156A15" w:rsidP="00156A15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156A15" w:rsidRPr="00156A15" w:rsidRDefault="00156A15" w:rsidP="00156A15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84</w:t>
            </w:r>
          </w:p>
        </w:tc>
      </w:tr>
      <w:tr w:rsidR="00156A15" w:rsidRPr="00545EB9" w:rsidTr="001806AF">
        <w:trPr>
          <w:cnfStyle w:val="000000010000"/>
        </w:trPr>
        <w:tc>
          <w:tcPr>
            <w:cnfStyle w:val="001000000000"/>
            <w:tcW w:w="5920" w:type="dxa"/>
          </w:tcPr>
          <w:p w:rsidR="00156A15" w:rsidRPr="00156A15" w:rsidRDefault="00156A15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 w:rsidRPr="00156A15">
              <w:rPr>
                <w:bCs w:val="0"/>
                <w:kern w:val="36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134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1962</w:t>
            </w:r>
          </w:p>
        </w:tc>
        <w:tc>
          <w:tcPr>
            <w:tcW w:w="1134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156A15" w:rsidRPr="00156A15" w:rsidRDefault="00156A15" w:rsidP="00156A15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0,5</w:t>
            </w:r>
          </w:p>
        </w:tc>
        <w:tc>
          <w:tcPr>
            <w:tcW w:w="1240" w:type="dxa"/>
          </w:tcPr>
          <w:p w:rsidR="00156A15" w:rsidRPr="00156A15" w:rsidRDefault="00156A15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 w:rsidRPr="00156A15">
              <w:rPr>
                <w:bCs/>
                <w:kern w:val="36"/>
                <w:sz w:val="20"/>
                <w:szCs w:val="20"/>
              </w:rPr>
              <w:t>548</w:t>
            </w:r>
          </w:p>
        </w:tc>
      </w:tr>
    </w:tbl>
    <w:p w:rsidR="00226498" w:rsidRPr="00545EB9" w:rsidRDefault="00226498" w:rsidP="00226498">
      <w:pPr>
        <w:spacing w:line="288" w:lineRule="auto"/>
        <w:ind w:firstLine="709"/>
        <w:jc w:val="both"/>
        <w:rPr>
          <w:bCs/>
          <w:color w:val="FF0000"/>
          <w:kern w:val="36"/>
          <w:sz w:val="20"/>
          <w:szCs w:val="20"/>
        </w:rPr>
      </w:pPr>
    </w:p>
    <w:p w:rsidR="00226498" w:rsidRPr="00156A15" w:rsidRDefault="001806AF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156A15">
        <w:rPr>
          <w:sz w:val="25"/>
          <w:szCs w:val="25"/>
        </w:rPr>
        <w:t xml:space="preserve">В </w:t>
      </w:r>
      <w:r w:rsidR="00156A15" w:rsidRPr="00156A15">
        <w:rPr>
          <w:sz w:val="25"/>
          <w:szCs w:val="25"/>
        </w:rPr>
        <w:t>17</w:t>
      </w:r>
      <w:r w:rsidRPr="00156A15">
        <w:rPr>
          <w:sz w:val="25"/>
          <w:szCs w:val="25"/>
        </w:rPr>
        <w:t xml:space="preserve"> районах республики отмечен рост инвестиций по сравнению с предыдущ</w:t>
      </w:r>
      <w:r w:rsidR="00156A15" w:rsidRPr="00156A15">
        <w:rPr>
          <w:sz w:val="25"/>
          <w:szCs w:val="25"/>
        </w:rPr>
        <w:t>им</w:t>
      </w:r>
      <w:r w:rsidRPr="00156A15">
        <w:rPr>
          <w:sz w:val="25"/>
          <w:szCs w:val="25"/>
        </w:rPr>
        <w:t xml:space="preserve"> го</w:t>
      </w:r>
      <w:r w:rsidR="00156A15" w:rsidRPr="00156A15">
        <w:rPr>
          <w:sz w:val="25"/>
          <w:szCs w:val="25"/>
        </w:rPr>
        <w:t>дом</w:t>
      </w:r>
      <w:r w:rsidRPr="00156A15">
        <w:rPr>
          <w:sz w:val="25"/>
          <w:szCs w:val="25"/>
        </w:rPr>
        <w:t>, в 1</w:t>
      </w:r>
      <w:r w:rsidR="00156A15" w:rsidRPr="00156A15">
        <w:rPr>
          <w:sz w:val="25"/>
          <w:szCs w:val="25"/>
        </w:rPr>
        <w:t>8</w:t>
      </w:r>
      <w:r w:rsidRPr="00156A15">
        <w:rPr>
          <w:sz w:val="25"/>
          <w:szCs w:val="25"/>
        </w:rPr>
        <w:t xml:space="preserve"> районах – снижение.</w:t>
      </w:r>
    </w:p>
    <w:p w:rsidR="001806AF" w:rsidRPr="00CA6EDA" w:rsidRDefault="0059170F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CA6EDA">
        <w:rPr>
          <w:sz w:val="25"/>
          <w:szCs w:val="25"/>
        </w:rPr>
        <w:t>В арктическ</w:t>
      </w:r>
      <w:r w:rsidR="008407AD" w:rsidRPr="00CA6EDA">
        <w:rPr>
          <w:sz w:val="25"/>
          <w:szCs w:val="25"/>
        </w:rPr>
        <w:t>их районах</w:t>
      </w:r>
      <w:r w:rsidR="00156A15" w:rsidRPr="00CA6EDA">
        <w:rPr>
          <w:sz w:val="25"/>
          <w:szCs w:val="25"/>
        </w:rPr>
        <w:t xml:space="preserve"> республики</w:t>
      </w:r>
      <w:r w:rsidR="008407AD" w:rsidRPr="00CA6EDA">
        <w:rPr>
          <w:sz w:val="25"/>
          <w:szCs w:val="25"/>
        </w:rPr>
        <w:t xml:space="preserve"> инвестиции</w:t>
      </w:r>
      <w:r w:rsidRPr="00CA6EDA">
        <w:rPr>
          <w:sz w:val="25"/>
          <w:szCs w:val="25"/>
        </w:rPr>
        <w:t xml:space="preserve"> в основной капитал составили </w:t>
      </w:r>
      <w:r w:rsidR="00CA6EDA" w:rsidRPr="00CA6EDA">
        <w:rPr>
          <w:sz w:val="25"/>
          <w:szCs w:val="25"/>
        </w:rPr>
        <w:t>14382</w:t>
      </w:r>
      <w:r w:rsidRPr="00CA6EDA">
        <w:rPr>
          <w:sz w:val="25"/>
          <w:szCs w:val="25"/>
        </w:rPr>
        <w:t xml:space="preserve"> млн. рублей и увеличились на </w:t>
      </w:r>
      <w:r w:rsidR="00CA6EDA" w:rsidRPr="00CA6EDA">
        <w:rPr>
          <w:sz w:val="25"/>
          <w:szCs w:val="25"/>
        </w:rPr>
        <w:t>56,9</w:t>
      </w:r>
      <w:r w:rsidRPr="00CA6EDA">
        <w:rPr>
          <w:sz w:val="25"/>
          <w:szCs w:val="25"/>
        </w:rPr>
        <w:t xml:space="preserve">% по сравнению с </w:t>
      </w:r>
      <w:r w:rsidR="00156A15" w:rsidRPr="00CA6EDA">
        <w:rPr>
          <w:sz w:val="25"/>
          <w:szCs w:val="25"/>
        </w:rPr>
        <w:t>2017 г</w:t>
      </w:r>
      <w:r w:rsidRPr="00CA6EDA">
        <w:rPr>
          <w:sz w:val="25"/>
          <w:szCs w:val="25"/>
        </w:rPr>
        <w:t>.</w:t>
      </w:r>
    </w:p>
    <w:p w:rsidR="00A13056" w:rsidRDefault="00A13056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A13056" w:rsidRDefault="00A13056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A13056" w:rsidRDefault="00A13056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Pr="006A0A0C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Pr="006A0A0C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Pr="000A4FEE" w:rsidRDefault="008407AD" w:rsidP="008407AD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A4FEE">
        <w:rPr>
          <w:rFonts w:eastAsia="Calibri"/>
          <w:b/>
          <w:color w:val="000000"/>
        </w:rPr>
        <w:t>Саха(Якутия)</w:t>
      </w:r>
      <w:proofErr w:type="spellStart"/>
      <w:r w:rsidRPr="000A4FEE">
        <w:rPr>
          <w:rFonts w:eastAsia="Calibri"/>
          <w:b/>
          <w:color w:val="000000"/>
        </w:rPr>
        <w:t>стат</w:t>
      </w:r>
      <w:proofErr w:type="spellEnd"/>
      <w:r w:rsidRPr="000A4FEE">
        <w:rPr>
          <w:rFonts w:eastAsia="Calibri"/>
          <w:b/>
          <w:color w:val="000000"/>
        </w:rPr>
        <w:t>, г</w:t>
      </w:r>
      <w:proofErr w:type="gramStart"/>
      <w:r w:rsidRPr="000A4FEE">
        <w:rPr>
          <w:rFonts w:eastAsia="Calibri"/>
          <w:b/>
          <w:color w:val="000000"/>
        </w:rPr>
        <w:t>.Я</w:t>
      </w:r>
      <w:proofErr w:type="gramEnd"/>
      <w:r w:rsidRPr="000A4FEE">
        <w:rPr>
          <w:rFonts w:eastAsia="Calibri"/>
          <w:b/>
          <w:color w:val="000000"/>
        </w:rPr>
        <w:t xml:space="preserve">кутск, </w:t>
      </w:r>
      <w:r w:rsidRPr="000A4FEE">
        <w:rPr>
          <w:rFonts w:eastAsia="Calibri"/>
          <w:b/>
          <w:bCs/>
          <w:color w:val="000000"/>
        </w:rPr>
        <w:t>ул. Орджоникидзе, 27</w:t>
      </w:r>
    </w:p>
    <w:p w:rsidR="008407AD" w:rsidRPr="000A4FEE" w:rsidRDefault="008407AD" w:rsidP="008407AD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A4FEE">
        <w:rPr>
          <w:rFonts w:eastAsia="Calibri"/>
          <w:b/>
          <w:bCs/>
          <w:color w:val="000000"/>
        </w:rPr>
        <w:t>Тел. 42-4</w:t>
      </w:r>
      <w:r>
        <w:rPr>
          <w:rFonts w:eastAsia="Calibri"/>
          <w:b/>
          <w:bCs/>
          <w:color w:val="000000"/>
        </w:rPr>
        <w:t>8-35</w:t>
      </w:r>
    </w:p>
    <w:p w:rsidR="008407AD" w:rsidRDefault="008407AD" w:rsidP="008407A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A4FEE">
        <w:rPr>
          <w:rFonts w:eastAsia="Calibri"/>
          <w:b/>
          <w:bCs/>
          <w:color w:val="000000"/>
        </w:rPr>
        <w:t xml:space="preserve">Отдел статистики </w:t>
      </w:r>
      <w:r>
        <w:rPr>
          <w:rFonts w:eastAsia="Calibri"/>
          <w:b/>
          <w:bCs/>
          <w:color w:val="000000"/>
        </w:rPr>
        <w:t xml:space="preserve">цен, финансов, строительства, </w:t>
      </w:r>
    </w:p>
    <w:p w:rsidR="008407AD" w:rsidRPr="000A4FEE" w:rsidRDefault="008407AD" w:rsidP="008407A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инвестиций и жилищно-коммунального хозяйства</w:t>
      </w:r>
    </w:p>
    <w:p w:rsidR="008407AD" w:rsidRPr="000A4FEE" w:rsidRDefault="008407AD" w:rsidP="008407AD">
      <w:proofErr w:type="spellStart"/>
      <w:r w:rsidRPr="000A4FEE">
        <w:rPr>
          <w:rFonts w:eastAsia="Calibri"/>
          <w:color w:val="000000"/>
        </w:rPr>
        <w:t>email</w:t>
      </w:r>
      <w:proofErr w:type="spellEnd"/>
      <w:r w:rsidRPr="000A4FEE">
        <w:rPr>
          <w:rFonts w:eastAsia="Calibri"/>
          <w:color w:val="000000"/>
        </w:rPr>
        <w:t xml:space="preserve">: </w:t>
      </w:r>
      <w:proofErr w:type="spellStart"/>
      <w:r w:rsidRPr="000A4FEE">
        <w:rPr>
          <w:rFonts w:eastAsia="Calibri"/>
          <w:color w:val="000000"/>
          <w:lang w:val="en-US"/>
        </w:rPr>
        <w:t>sakha</w:t>
      </w:r>
      <w:proofErr w:type="spellEnd"/>
      <w:r w:rsidRPr="000A4FEE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6</w:t>
      </w:r>
      <w:r w:rsidRPr="006A0A0C">
        <w:rPr>
          <w:rFonts w:eastAsia="Calibri"/>
          <w:color w:val="000000"/>
        </w:rPr>
        <w:t>@</w:t>
      </w:r>
      <w:proofErr w:type="spellStart"/>
      <w:r w:rsidRPr="000A4FEE">
        <w:rPr>
          <w:rFonts w:eastAsia="Calibri"/>
          <w:color w:val="000000"/>
          <w:lang w:val="en-US"/>
        </w:rPr>
        <w:t>gks</w:t>
      </w:r>
      <w:proofErr w:type="spellEnd"/>
      <w:r w:rsidRPr="000A4FEE">
        <w:rPr>
          <w:rFonts w:eastAsia="Calibri"/>
          <w:color w:val="000000"/>
        </w:rPr>
        <w:t>.</w:t>
      </w:r>
      <w:proofErr w:type="spellStart"/>
      <w:r w:rsidRPr="000A4FEE">
        <w:rPr>
          <w:rFonts w:eastAsia="Calibri"/>
          <w:color w:val="000000"/>
        </w:rPr>
        <w:t>ru</w:t>
      </w:r>
      <w:proofErr w:type="spellEnd"/>
    </w:p>
    <w:sectPr w:rsidR="008407AD" w:rsidRPr="000A4FEE" w:rsidSect="008F2C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A15" w:rsidRDefault="00156A15" w:rsidP="006A0A0C">
      <w:r>
        <w:separator/>
      </w:r>
    </w:p>
  </w:endnote>
  <w:endnote w:type="continuationSeparator" w:id="1">
    <w:p w:rsidR="00156A15" w:rsidRDefault="00156A15" w:rsidP="006A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A15" w:rsidRDefault="00156A15" w:rsidP="006A0A0C">
      <w:r>
        <w:separator/>
      </w:r>
    </w:p>
  </w:footnote>
  <w:footnote w:type="continuationSeparator" w:id="1">
    <w:p w:rsidR="00156A15" w:rsidRDefault="00156A15" w:rsidP="006A0A0C">
      <w:r>
        <w:continuationSeparator/>
      </w:r>
    </w:p>
  </w:footnote>
  <w:footnote w:id="2">
    <w:p w:rsidR="00156A15" w:rsidRPr="006A0A0C" w:rsidRDefault="00156A15">
      <w:pPr>
        <w:pStyle w:val="aa"/>
        <w:rPr>
          <w:iCs/>
          <w:szCs w:val="18"/>
        </w:rPr>
      </w:pPr>
      <w:r>
        <w:rPr>
          <w:rStyle w:val="ac"/>
        </w:rPr>
        <w:footnoteRef/>
      </w:r>
      <w:r>
        <w:t xml:space="preserve"> </w:t>
      </w:r>
      <w:r w:rsidRPr="006A0A0C">
        <w:rPr>
          <w:iCs/>
          <w:szCs w:val="18"/>
        </w:rPr>
        <w:t xml:space="preserve">По полному кругу хозяйствующих субъектов, включая </w:t>
      </w:r>
      <w:proofErr w:type="spellStart"/>
      <w:r w:rsidRPr="006A0A0C">
        <w:rPr>
          <w:iCs/>
          <w:szCs w:val="18"/>
        </w:rPr>
        <w:t>досчеты</w:t>
      </w:r>
      <w:proofErr w:type="spellEnd"/>
      <w:r w:rsidRPr="006A0A0C">
        <w:rPr>
          <w:iCs/>
          <w:szCs w:val="18"/>
        </w:rPr>
        <w:t xml:space="preserve"> на инвестиции, не наблюдаемые прямыми статист</w:t>
      </w:r>
      <w:r w:rsidRPr="006A0A0C">
        <w:rPr>
          <w:iCs/>
          <w:szCs w:val="18"/>
        </w:rPr>
        <w:t>и</w:t>
      </w:r>
      <w:r w:rsidRPr="006A0A0C">
        <w:rPr>
          <w:iCs/>
          <w:szCs w:val="18"/>
        </w:rPr>
        <w:t>ческими методами.</w:t>
      </w:r>
    </w:p>
  </w:footnote>
  <w:footnote w:id="3">
    <w:p w:rsidR="00156A15" w:rsidRDefault="00156A15">
      <w:pPr>
        <w:pStyle w:val="aa"/>
      </w:pPr>
      <w:r>
        <w:rPr>
          <w:rStyle w:val="ac"/>
        </w:rPr>
        <w:footnoteRef/>
      </w:r>
      <w:r>
        <w:t xml:space="preserve"> Здесь и далее – по организациям, не относящимся к субъектам малого предпринимательства.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C2C"/>
    <w:rsid w:val="000C6B45"/>
    <w:rsid w:val="000C794F"/>
    <w:rsid w:val="001251B0"/>
    <w:rsid w:val="00126605"/>
    <w:rsid w:val="00156A15"/>
    <w:rsid w:val="001806AF"/>
    <w:rsid w:val="001E7163"/>
    <w:rsid w:val="001F7CBA"/>
    <w:rsid w:val="00226498"/>
    <w:rsid w:val="002B70E6"/>
    <w:rsid w:val="002E27C1"/>
    <w:rsid w:val="002F491F"/>
    <w:rsid w:val="003D07E4"/>
    <w:rsid w:val="00406D7D"/>
    <w:rsid w:val="00465D3B"/>
    <w:rsid w:val="004A7D14"/>
    <w:rsid w:val="004B2B9C"/>
    <w:rsid w:val="005458BF"/>
    <w:rsid w:val="00545EB9"/>
    <w:rsid w:val="0059170F"/>
    <w:rsid w:val="005D4E76"/>
    <w:rsid w:val="00601B7F"/>
    <w:rsid w:val="00616EF4"/>
    <w:rsid w:val="00645C64"/>
    <w:rsid w:val="006A0A0C"/>
    <w:rsid w:val="006E1B6F"/>
    <w:rsid w:val="0076052F"/>
    <w:rsid w:val="0079166E"/>
    <w:rsid w:val="007B2F8E"/>
    <w:rsid w:val="007D2C4A"/>
    <w:rsid w:val="008278B4"/>
    <w:rsid w:val="008407AD"/>
    <w:rsid w:val="008C162D"/>
    <w:rsid w:val="008E2773"/>
    <w:rsid w:val="008F2C2C"/>
    <w:rsid w:val="00954276"/>
    <w:rsid w:val="00980E03"/>
    <w:rsid w:val="00A05E8D"/>
    <w:rsid w:val="00A13056"/>
    <w:rsid w:val="00A24E0B"/>
    <w:rsid w:val="00A269D0"/>
    <w:rsid w:val="00B2313D"/>
    <w:rsid w:val="00B26944"/>
    <w:rsid w:val="00B41DC4"/>
    <w:rsid w:val="00B532C6"/>
    <w:rsid w:val="00BF2448"/>
    <w:rsid w:val="00C607CA"/>
    <w:rsid w:val="00CA6EDA"/>
    <w:rsid w:val="00CD031C"/>
    <w:rsid w:val="00CF3A3F"/>
    <w:rsid w:val="00DF6059"/>
    <w:rsid w:val="00E264F7"/>
    <w:rsid w:val="00E40137"/>
    <w:rsid w:val="00EA1DD9"/>
    <w:rsid w:val="00EB1810"/>
    <w:rsid w:val="00ED116D"/>
    <w:rsid w:val="00F55F41"/>
    <w:rsid w:val="00F63688"/>
    <w:rsid w:val="00F97CF7"/>
    <w:rsid w:val="00FF09E4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C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F3A3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C60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607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07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07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607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607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Light Shading"/>
    <w:basedOn w:val="a1"/>
    <w:uiPriority w:val="60"/>
    <w:rsid w:val="00C607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C60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C60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954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8">
    <w:name w:val="КД_Абз"/>
    <w:basedOn w:val="a"/>
    <w:link w:val="a9"/>
    <w:rsid w:val="002E27C1"/>
    <w:pPr>
      <w:ind w:firstLine="720"/>
      <w:jc w:val="both"/>
    </w:pPr>
    <w:rPr>
      <w:sz w:val="22"/>
      <w:szCs w:val="20"/>
      <w:lang w:val="en-US"/>
    </w:rPr>
  </w:style>
  <w:style w:type="character" w:customStyle="1" w:styleId="a9">
    <w:name w:val="КД_Абз Знак"/>
    <w:link w:val="a8"/>
    <w:locked/>
    <w:rsid w:val="002E27C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A0A0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0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A0A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0.1633742196568059"/>
          <c:y val="0.18948428743704368"/>
          <c:w val="0.67592592592592593"/>
          <c:h val="0.644841269841269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инвестиций в основной капитал</c:v>
                </c:pt>
              </c:strCache>
            </c:strRef>
          </c:tx>
          <c:explosion val="40"/>
          <c:dLbls>
            <c:dLbl>
              <c:idx val="0"/>
              <c:layout>
                <c:manualLayout>
                  <c:x val="-0.10561898512685916"/>
                  <c:y val="-5.158730158730158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291683659064541E-3"/>
                  <c:y val="-0.1892697027736399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41282638474968"/>
                  <c:y val="3.3326239625452235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5255408810950452E-3"/>
                  <c:y val="-0.2004376817762647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0136671163106854E-4"/>
                  <c:y val="6.027700929275730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2382236074657348"/>
                  <c:y val="3.174603174603174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2.2446048410615402E-2"/>
                  <c:y val="8.7301587301587186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1378718285214352"/>
                  <c:y val="6.349206349206353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жилые здания и помещения </c:v>
                </c:pt>
                <c:pt idx="1">
                  <c:v>здания (кроме жилых)</c:v>
                </c:pt>
                <c:pt idx="2">
                  <c:v>сооружения</c:v>
                </c:pt>
                <c:pt idx="3">
                  <c:v>транспортные средства</c:v>
                </c:pt>
                <c:pt idx="4">
                  <c:v>информационное и компьютерное оборудование</c:v>
                </c:pt>
                <c:pt idx="5">
                  <c:v>прочие машины и оборудование</c:v>
                </c:pt>
                <c:pt idx="6">
                  <c:v>расходы на разведку недр </c:v>
                </c:pt>
                <c:pt idx="7">
                  <c:v>прочие инвестиции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8476121</c:v>
                </c:pt>
                <c:pt idx="1">
                  <c:v>19120999</c:v>
                </c:pt>
                <c:pt idx="2">
                  <c:v>223667573</c:v>
                </c:pt>
                <c:pt idx="3">
                  <c:v>13623108</c:v>
                </c:pt>
                <c:pt idx="4">
                  <c:v>2803421</c:v>
                </c:pt>
                <c:pt idx="5">
                  <c:v>54240122</c:v>
                </c:pt>
                <c:pt idx="6">
                  <c:v>11650366</c:v>
                </c:pt>
                <c:pt idx="7">
                  <c:v>32108955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229527343564812E-2"/>
          <c:y val="4.2145593869731802E-2"/>
          <c:w val="0.95161260014911964"/>
          <c:h val="0.468584487283917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w="165100" prst="coolSlant"/>
              <a:bevelB w="114300" prst="artDeco"/>
            </a:sp3d>
          </c:spPr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Добыча полезных ископаемых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Обеспечение эл. энергией, газом и паром</c:v>
                </c:pt>
                <c:pt idx="4">
                  <c:v>Деят-ть проф., научная и техническая</c:v>
                </c:pt>
                <c:pt idx="5">
                  <c:v>Операции с недвижимым имуществом</c:v>
                </c:pt>
                <c:pt idx="6">
                  <c:v>Обрабатывающие производства</c:v>
                </c:pt>
                <c:pt idx="7">
                  <c:v>Водоснабжение,                      водоотведение</c:v>
                </c:pt>
                <c:pt idx="8">
                  <c:v>Гос. управление</c:v>
                </c:pt>
                <c:pt idx="9">
                  <c:v>Образование</c:v>
                </c:pt>
                <c:pt idx="10">
                  <c:v>Информация и связь</c:v>
                </c:pt>
                <c:pt idx="11">
                  <c:v>Торговля</c:v>
                </c:pt>
                <c:pt idx="12">
                  <c:v>Здравоохранение</c:v>
                </c:pt>
                <c:pt idx="13">
                  <c:v>Сельское хозяйство</c:v>
                </c:pt>
                <c:pt idx="14">
                  <c:v>Культура и спорт</c:v>
                </c:pt>
                <c:pt idx="15">
                  <c:v>Деятельность финансовая и страховая</c:v>
                </c:pt>
                <c:pt idx="16">
                  <c:v>Деятельность гостиниц и общепит</c:v>
                </c:pt>
              </c:strCache>
            </c:strRef>
          </c:cat>
          <c:val>
            <c:numRef>
              <c:f>Лист1!$B$2:$B$18</c:f>
              <c:numCache>
                <c:formatCode>#,##0.0</c:formatCode>
                <c:ptCount val="17"/>
                <c:pt idx="0">
                  <c:v>49.2</c:v>
                </c:pt>
                <c:pt idx="1">
                  <c:v>30.8</c:v>
                </c:pt>
                <c:pt idx="2">
                  <c:v>4.5</c:v>
                </c:pt>
                <c:pt idx="3">
                  <c:v>4.0999999999999996</c:v>
                </c:pt>
                <c:pt idx="4">
                  <c:v>2.5</c:v>
                </c:pt>
                <c:pt idx="5">
                  <c:v>1.9000000000000001</c:v>
                </c:pt>
                <c:pt idx="6">
                  <c:v>1.2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0.70000000000000018</c:v>
                </c:pt>
                <c:pt idx="11">
                  <c:v>0.6000000000000002</c:v>
                </c:pt>
                <c:pt idx="12">
                  <c:v>0.5</c:v>
                </c:pt>
                <c:pt idx="13">
                  <c:v>0.3000000000000001</c:v>
                </c:pt>
                <c:pt idx="14">
                  <c:v>0.3000000000000001</c:v>
                </c:pt>
                <c:pt idx="15">
                  <c:v>0.2</c:v>
                </c:pt>
                <c:pt idx="16">
                  <c:v>0.2</c:v>
                </c:pt>
              </c:numCache>
            </c:numRef>
          </c:val>
        </c:ser>
        <c:axId val="110221184"/>
        <c:axId val="110222720"/>
      </c:barChart>
      <c:catAx>
        <c:axId val="1102211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0222720"/>
        <c:crosses val="autoZero"/>
        <c:auto val="1"/>
        <c:lblAlgn val="ctr"/>
        <c:lblOffset val="100"/>
      </c:catAx>
      <c:valAx>
        <c:axId val="110222720"/>
        <c:scaling>
          <c:orientation val="minMax"/>
        </c:scaling>
        <c:delete val="1"/>
        <c:axPos val="l"/>
        <c:numFmt formatCode="#,##0.0" sourceLinked="1"/>
        <c:tickLblPos val="nextTo"/>
        <c:crossAx val="110221184"/>
        <c:crosses val="autoZero"/>
        <c:crossBetween val="between"/>
      </c:valAx>
      <c:spPr>
        <a:ln>
          <a:noFill/>
        </a:ln>
      </c:spPr>
    </c:plotArea>
    <c:plotVisOnly val="1"/>
  </c:chart>
  <c:spPr>
    <a:noFill/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6.25E-2"/>
          <c:y val="0.1498015873015873"/>
          <c:w val="0.65277777777777835"/>
          <c:h val="0.621031746031746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888451443569562E-2"/>
                  <c:y val="-0.1631780402449693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5859893497564784"/>
                  <c:y val="1.5465707236033705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941609660997098"/>
                  <c:y val="2.828944134792139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0220307107280882E-2"/>
                  <c:y val="0.167954230440296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"/>
                  <c:y val="-1.24922586923825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Долевое строительст-во 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2.0329906678331885E-2"/>
                  <c:y val="-0.1027368453943256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Собственные средства</c:v>
                </c:pt>
                <c:pt idx="1">
                  <c:v>Кредиты банков</c:v>
                </c:pt>
                <c:pt idx="2">
                  <c:v>Заемные средства других организаций</c:v>
                </c:pt>
                <c:pt idx="3">
                  <c:v>Бюджетные средства</c:v>
                </c:pt>
                <c:pt idx="4">
                  <c:v>Долевое строительство (средства населения)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33.9</c:v>
                </c:pt>
                <c:pt idx="1">
                  <c:v>3.9</c:v>
                </c:pt>
                <c:pt idx="2">
                  <c:v>1.3</c:v>
                </c:pt>
                <c:pt idx="3">
                  <c:v>7.2</c:v>
                </c:pt>
                <c:pt idx="4">
                  <c:v>0.4</c:v>
                </c:pt>
                <c:pt idx="5">
                  <c:v>53.3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0.41385</cdr:x>
      <cdr:y>0.04974</cdr:y>
    </cdr:from>
    <cdr:to>
      <cdr:x>0.93077</cdr:x>
      <cdr:y>0.3089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562225" y="180975"/>
          <a:ext cx="3200400" cy="9429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400">
              <a:solidFill>
                <a:schemeClr val="bg1"/>
              </a:solidFill>
            </a:rPr>
            <a:t>Распределение</a:t>
          </a:r>
          <a:r>
            <a:rPr lang="ru-RU" sz="1400" baseline="0">
              <a:solidFill>
                <a:schemeClr val="bg1"/>
              </a:solidFill>
            </a:rPr>
            <a:t> инвестиций </a:t>
          </a:r>
        </a:p>
        <a:p xmlns:a="http://schemas.openxmlformats.org/drawingml/2006/main">
          <a:pPr algn="ctr"/>
          <a:r>
            <a:rPr lang="ru-RU" sz="1400" baseline="0">
              <a:solidFill>
                <a:schemeClr val="bg1"/>
              </a:solidFill>
            </a:rPr>
            <a:t>в основной капитал по видам экономической деятельности </a:t>
          </a:r>
        </a:p>
        <a:p xmlns:a="http://schemas.openxmlformats.org/drawingml/2006/main">
          <a:pPr algn="ctr"/>
          <a:r>
            <a:rPr lang="ru-RU" sz="1400" baseline="0">
              <a:solidFill>
                <a:schemeClr val="bg1"/>
              </a:solidFill>
            </a:rPr>
            <a:t>(в % к итогу)</a:t>
          </a:r>
          <a:endParaRPr lang="ru-RU" sz="1400">
            <a:solidFill>
              <a:schemeClr val="bg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0.19947</cdr:x>
      <cdr:y>0</cdr:y>
    </cdr:from>
    <cdr:to>
      <cdr:x>1</cdr:x>
      <cdr:y>0.16854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23899" y="0"/>
          <a:ext cx="2905126" cy="4286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0070C0"/>
              </a:solidFill>
              <a:latin typeface="+mn-lt"/>
              <a:ea typeface="+mn-ea"/>
              <a:cs typeface="+mn-cs"/>
            </a:rPr>
            <a:t> </a:t>
          </a:r>
          <a:r>
            <a:rPr lang="ru-RU" sz="1050" b="1">
              <a:solidFill>
                <a:srgbClr val="0070C0"/>
              </a:solidFill>
              <a:latin typeface="+mn-lt"/>
              <a:ea typeface="+mn-ea"/>
              <a:cs typeface="+mn-cs"/>
            </a:rPr>
            <a:t>Источники финансирования инвестиций                        в основной капитал (в % к итогу</a:t>
          </a:r>
          <a:r>
            <a:rPr lang="ru-RU" sz="1100" b="1">
              <a:solidFill>
                <a:srgbClr val="0070C0"/>
              </a:solidFill>
              <a:latin typeface="+mn-lt"/>
              <a:ea typeface="+mn-ea"/>
              <a:cs typeface="+mn-cs"/>
            </a:rPr>
            <a:t>)</a:t>
          </a:r>
          <a:endParaRPr lang="ru-RU">
            <a:solidFill>
              <a:srgbClr val="0070C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799C-C8EB-492A-B2C2-E7737946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P14_IgnatievaES</dc:creator>
  <cp:lastModifiedBy>P14_IgnatievaES</cp:lastModifiedBy>
  <cp:revision>24</cp:revision>
  <cp:lastPrinted>2019-08-29T23:57:00Z</cp:lastPrinted>
  <dcterms:created xsi:type="dcterms:W3CDTF">2018-11-20T00:50:00Z</dcterms:created>
  <dcterms:modified xsi:type="dcterms:W3CDTF">2019-08-30T00:01:00Z</dcterms:modified>
</cp:coreProperties>
</file>